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158/2025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073/2025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13/11/2025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em prestação de serviços de locação de ambulância de UTI Adulto e Neonatal para atendimento a transferências de pacientes do SUS e eventos para atender a</w:t>
            </w:r>
            <w:r>
              <w:rPr>
                <w:rFonts w:hint="default" w:ascii="Arial" w:hAnsi="Arial"/>
                <w:color w:val="000000"/>
                <w:lang w:val="pt-BR"/>
              </w:rPr>
              <w:t>s demandas da</w:t>
            </w:r>
            <w:r>
              <w:rPr>
                <w:rFonts w:hint="default" w:ascii="Arial" w:hAnsi="Arial"/>
                <w:color w:val="000000"/>
              </w:rPr>
              <w:t xml:space="preserve"> Secretaria Municipal de Saúde da Prefeitura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R$ 1.426.540,00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Ramais: 149 e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461CFE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C1E5328">
            <w:pPr>
              <w:jc w:val="center"/>
              <w:rPr>
                <w:rFonts w:hint="default" w:ascii="Arial" w:hAnsi="Arial" w:cs="Arial"/>
                <w:b/>
                <w:bCs/>
                <w:color w:val="000000"/>
                <w:lang w:val="pt-BR"/>
              </w:rPr>
            </w:pPr>
            <w:r>
              <w:rPr>
                <w:rFonts w:hint="default" w:ascii="Arial" w:hAnsi="Arial" w:cs="Arial"/>
                <w:b/>
                <w:bCs/>
                <w:color w:val="000000"/>
                <w:lang w:val="pt-BR"/>
              </w:rPr>
              <w:t>Edital 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287D872">
            <w:pPr>
              <w:numPr>
                <w:ilvl w:val="0"/>
                <w:numId w:val="2"/>
              </w:numPr>
              <w:tabs>
                <w:tab w:val="clear" w:pos="420"/>
              </w:tabs>
              <w:ind w:left="420" w:leftChars="0" w:hanging="420" w:firstLineChars="0"/>
              <w:rPr>
                <w:rFonts w:ascii="Arial" w:hAnsi="Arial" w:cs="Arial"/>
                <w:color w:val="000000"/>
                <w:sz w:val="18"/>
                <w:szCs w:val="18"/>
              </w:rPr>
            </w:pPr>
            <w:r>
              <w:rPr>
                <w:rFonts w:hint="default" w:ascii="Arial" w:hAnsi="Arial" w:cs="Arial"/>
                <w:color w:val="000000"/>
                <w:sz w:val="18"/>
                <w:szCs w:val="18"/>
                <w:lang w:val="pt-BR"/>
              </w:rPr>
              <w:t>Qualificação técnica</w:t>
            </w:r>
          </w:p>
          <w:p w14:paraId="50B33420">
            <w:pPr>
              <w:numPr>
                <w:ilvl w:val="0"/>
                <w:numId w:val="2"/>
              </w:numPr>
              <w:tabs>
                <w:tab w:val="clear" w:pos="420"/>
              </w:tabs>
              <w:ind w:left="420" w:leftChars="0" w:hanging="420" w:firstLineChars="0"/>
              <w:rPr>
                <w:rFonts w:ascii="Arial" w:hAnsi="Arial" w:cs="Arial"/>
                <w:color w:val="000000"/>
                <w:sz w:val="18"/>
                <w:szCs w:val="18"/>
              </w:rPr>
            </w:pPr>
            <w:r>
              <w:rPr>
                <w:rFonts w:hint="default" w:ascii="Arial" w:hAnsi="Arial" w:cs="Arial"/>
                <w:color w:val="000000"/>
                <w:sz w:val="18"/>
                <w:szCs w:val="18"/>
                <w:lang w:val="pt-BR"/>
              </w:rPr>
              <w:t>Quantitativo dos itens</w:t>
            </w:r>
          </w:p>
          <w:p w14:paraId="2DE2657C">
            <w:pPr>
              <w:numPr>
                <w:ilvl w:val="0"/>
                <w:numId w:val="2"/>
              </w:numPr>
              <w:tabs>
                <w:tab w:val="clear" w:pos="420"/>
              </w:tabs>
              <w:ind w:left="420" w:leftChars="0" w:hanging="420" w:firstLineChars="0"/>
              <w:rPr>
                <w:rFonts w:ascii="Arial" w:hAnsi="Arial" w:cs="Arial"/>
                <w:color w:val="000000"/>
                <w:sz w:val="22"/>
                <w:szCs w:val="22"/>
              </w:rPr>
            </w:pPr>
            <w:r>
              <w:rPr>
                <w:rFonts w:hint="default" w:ascii="Arial" w:hAnsi="Arial" w:cs="Arial"/>
                <w:color w:val="000000"/>
                <w:sz w:val="18"/>
                <w:szCs w:val="18"/>
                <w:lang w:val="pt-BR"/>
              </w:rPr>
              <w:t>Supressão de itens</w:t>
            </w:r>
          </w:p>
          <w:p w14:paraId="0BE8A455">
            <w:pPr>
              <w:numPr>
                <w:ilvl w:val="0"/>
                <w:numId w:val="2"/>
              </w:numPr>
              <w:tabs>
                <w:tab w:val="clear" w:pos="420"/>
              </w:tabs>
              <w:ind w:left="420" w:leftChars="0" w:hanging="420" w:firstLineChars="0"/>
              <w:rPr>
                <w:rFonts w:ascii="Arial" w:hAnsi="Arial" w:cs="Arial"/>
                <w:color w:val="000000"/>
                <w:sz w:val="22"/>
                <w:szCs w:val="22"/>
              </w:rPr>
            </w:pPr>
            <w:r>
              <w:rPr>
                <w:rFonts w:hint="default" w:ascii="Arial" w:hAnsi="Arial" w:cs="Arial"/>
                <w:color w:val="000000"/>
                <w:sz w:val="18"/>
                <w:szCs w:val="18"/>
                <w:lang w:val="pt-BR"/>
              </w:rPr>
              <w:t xml:space="preserve">Cotação </w:t>
            </w:r>
          </w:p>
          <w:p w14:paraId="71023563">
            <w:pPr>
              <w:numPr>
                <w:ilvl w:val="0"/>
                <w:numId w:val="2"/>
              </w:numPr>
              <w:tabs>
                <w:tab w:val="clear" w:pos="420"/>
              </w:tabs>
              <w:ind w:left="420" w:leftChars="0" w:hanging="420" w:firstLineChars="0"/>
              <w:rPr>
                <w:rFonts w:ascii="Arial" w:hAnsi="Arial" w:cs="Arial"/>
                <w:color w:val="000000"/>
                <w:sz w:val="22"/>
                <w:szCs w:val="22"/>
              </w:rPr>
            </w:pPr>
            <w:r>
              <w:rPr>
                <w:rFonts w:hint="default" w:ascii="Arial" w:hAnsi="Arial" w:cs="Arial"/>
                <w:color w:val="000000"/>
                <w:sz w:val="18"/>
                <w:szCs w:val="18"/>
                <w:lang w:val="pt-BR"/>
              </w:rPr>
              <w:t>Valor estimado</w:t>
            </w:r>
          </w:p>
        </w:tc>
      </w:tr>
    </w:tbl>
    <w:p w14:paraId="270E5641">
      <w:pPr>
        <w:jc w:val="center"/>
        <w:rPr>
          <w:rFonts w:ascii="Arial" w:hAnsi="Arial" w:cs="Arial"/>
          <w:sz w:val="20"/>
        </w:rPr>
      </w:pPr>
    </w:p>
    <w:p w14:paraId="413CF24D">
      <w:pPr>
        <w:jc w:val="center"/>
        <w:rPr>
          <w:rFonts w:ascii="Arial" w:hAnsi="Arial" w:cs="Arial"/>
          <w:sz w:val="20"/>
        </w:rPr>
      </w:pPr>
    </w:p>
    <w:p w14:paraId="65CC85B8">
      <w:pPr>
        <w:numPr>
          <w:ilvl w:val="0"/>
          <w:numId w:val="3"/>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3"/>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073/2025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158/2025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13/11/2025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158/2025</w:t>
      </w:r>
      <w:r>
        <w:rPr>
          <w:rFonts w:hint="default" w:ascii="Arial" w:hAnsi="Arial" w:cs="Arial"/>
          <w:sz w:val="18"/>
          <w:szCs w:val="18"/>
        </w:rPr>
        <w:t xml:space="preserve"> para Sistema de Registro de Preços n° </w:t>
      </w:r>
      <w:r>
        <w:rPr>
          <w:rFonts w:hint="default" w:ascii="Arial" w:hAnsi="Arial" w:cs="Arial"/>
          <w:sz w:val="18"/>
          <w:szCs w:val="18"/>
          <w:lang w:val="pt-BR"/>
        </w:rPr>
        <w:t>072/2025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073/2025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prestação de serviços de locação de ambulância de UTI Adulto e Neonatal para atendimento a transferências de pacientes do SUS e eventos para atender as demandas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prestação de serviços de locação de ambulância de UTI Adulto e Neonatal para atendimento a transferências de pacientes do SUS e eventos para atender as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b w:val="0"/>
          <w:bCs w:val="0"/>
          <w:sz w:val="18"/>
          <w:szCs w:val="18"/>
          <w:lang w:eastAsia="ar-SA"/>
        </w:rPr>
        <w:t xml:space="preserve">2.2 Os recursos do Órgão Gerenciador para cobrir as despesas decorrentes da </w:t>
      </w:r>
      <w:r>
        <w:rPr>
          <w:rFonts w:hint="default" w:ascii="Arial" w:hAnsi="Arial" w:cs="Arial"/>
          <w:b w:val="0"/>
          <w:bCs w:val="0"/>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b w:val="0"/>
          <w:bCs w:val="0"/>
          <w:color w:val="000000" w:themeColor="text1"/>
          <w:sz w:val="18"/>
          <w:szCs w:val="18"/>
          <w14:textFill>
            <w14:solidFill>
              <w14:schemeClr w14:val="tx1"/>
            </w14:solidFill>
          </w14:textFill>
        </w:rPr>
        <w:t>correrão à conta da dotação orçamentária a ser definida por cada secretaria responsável:</w:t>
      </w:r>
    </w:p>
    <w:p w14:paraId="6AF910F3">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sz w:val="18"/>
          <w:szCs w:val="18"/>
          <w:lang w:eastAsia="ar-SA"/>
        </w:rPr>
      </w:pPr>
      <w:r>
        <w:rPr>
          <w:rFonts w:hint="default" w:ascii="Arial" w:hAnsi="Arial" w:cs="Arial"/>
          <w:b w:val="0"/>
          <w:bCs w:val="0"/>
          <w:sz w:val="18"/>
          <w:szCs w:val="18"/>
          <w:lang w:eastAsia="ar-SA"/>
        </w:rPr>
        <w:t xml:space="preserve">02.009 – FUNDO MUNICIPAL DE SAÚDE </w:t>
      </w:r>
    </w:p>
    <w:p w14:paraId="51188D42">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sz w:val="18"/>
          <w:szCs w:val="18"/>
          <w:lang w:eastAsia="ar-SA"/>
        </w:rPr>
      </w:pPr>
      <w:r>
        <w:rPr>
          <w:rFonts w:hint="default" w:ascii="Arial" w:hAnsi="Arial" w:cs="Arial"/>
          <w:b w:val="0"/>
          <w:bCs w:val="0"/>
          <w:sz w:val="18"/>
          <w:szCs w:val="18"/>
          <w:lang w:eastAsia="ar-SA"/>
        </w:rPr>
        <w:t>2.099 – Gestão do Serviço de Regulação, Controle, Auditoria e Avaliação.</w:t>
      </w:r>
    </w:p>
    <w:p w14:paraId="4FA9C550">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lang w:eastAsia="ar-SA"/>
        </w:rPr>
        <w:t>3.3.90.39.00.00.00.00 - 1.500 – Outros Serviços de Terceiros Pessoa Jurídica (Ficha: 463)</w:t>
      </w:r>
    </w:p>
    <w:p w14:paraId="79916206">
      <w:pPr>
        <w:jc w:val="both"/>
        <w:rPr>
          <w:rFonts w:hint="default" w:ascii="Arial" w:hAnsi="Arial"/>
          <w:b w:val="0"/>
          <w:bCs/>
          <w:sz w:val="18"/>
          <w:szCs w:val="18"/>
          <w:lang w:eastAsia="ar-SA"/>
        </w:rPr>
      </w:pPr>
    </w:p>
    <w:p w14:paraId="50E1AE97">
      <w:pPr>
        <w:jc w:val="both"/>
        <w:rPr>
          <w:rFonts w:hint="default" w:ascii="Arial" w:hAnsi="Arial"/>
          <w:b w:val="0"/>
          <w:bCs/>
          <w:sz w:val="18"/>
          <w:szCs w:val="18"/>
          <w:lang w:eastAsia="ar-SA"/>
        </w:rPr>
      </w:pPr>
    </w:p>
    <w:p w14:paraId="576C9620">
      <w:pPr>
        <w:jc w:val="both"/>
        <w:rPr>
          <w:rFonts w:hint="default" w:ascii="Arial" w:hAnsi="Arial"/>
          <w:b w:val="0"/>
          <w:bCs/>
          <w:sz w:val="18"/>
          <w:szCs w:val="18"/>
          <w:lang w:eastAsia="ar-SA"/>
        </w:rPr>
      </w:pPr>
    </w:p>
    <w:p w14:paraId="601062F7">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b w:val="0"/>
          <w:bCs w:val="0"/>
          <w:sz w:val="18"/>
          <w:szCs w:val="18"/>
          <w:u w:val="none"/>
          <w:lang w:eastAsia="ar-SA"/>
        </w:rPr>
      </w:pPr>
      <w:r>
        <w:rPr>
          <w:rFonts w:hint="default" w:ascii="Arial" w:hAnsi="Arial" w:cs="Arial"/>
          <w:sz w:val="18"/>
          <w:szCs w:val="18"/>
          <w:lang w:eastAsia="ar-SA"/>
        </w:rPr>
        <w:t>3.6. O uso da senha de acesso pelo licitante é de sua responsabilidade exclusiva, incluindo qualquer transação efetuada di</w:t>
      </w:r>
      <w:r>
        <w:rPr>
          <w:rFonts w:hint="default" w:ascii="Arial" w:hAnsi="Arial" w:cs="Arial"/>
          <w:b w:val="0"/>
          <w:bCs w:val="0"/>
          <w:sz w:val="18"/>
          <w:szCs w:val="18"/>
          <w:u w:val="none"/>
          <w:lang w:eastAsia="ar-SA"/>
        </w:rPr>
        <w:t>retamente ou por seu representante, não cabendo ao provedor do sistema ou à Prefeitura Municipal de Cataguases, promotora da licitação, responsabilidade por eventuais danos decorrentes do uso indevido da senha, ainda que por terceiros.</w:t>
      </w:r>
    </w:p>
    <w:p w14:paraId="0AF27319">
      <w:pPr>
        <w:pStyle w:val="270"/>
        <w:tabs>
          <w:tab w:val="left" w:pos="-23979"/>
          <w:tab w:val="left" w:pos="-22816"/>
        </w:tabs>
        <w:spacing w:line="360" w:lineRule="auto"/>
        <w:rPr>
          <w:highlight w:val="none"/>
        </w:rPr>
      </w:pPr>
      <w:r>
        <w:rPr>
          <w:rFonts w:hint="default" w:ascii="Arial" w:hAnsi="Arial" w:cs="Arial"/>
          <w:b w:val="0"/>
          <w:bCs w:val="0"/>
          <w:sz w:val="18"/>
          <w:szCs w:val="18"/>
          <w:highlight w:val="none"/>
          <w:u w:val="none"/>
        </w:rPr>
        <w:t xml:space="preserve">3.7 </w:t>
      </w:r>
      <w:r>
        <w:rPr>
          <w:rFonts w:hint="default" w:ascii="Arial" w:hAnsi="Arial" w:cs="Arial"/>
          <w:b w:val="0"/>
          <w:bCs w:val="0"/>
          <w:i w:val="0"/>
          <w:color w:val="auto"/>
          <w:sz w:val="18"/>
          <w:szCs w:val="18"/>
          <w:highlight w:val="none"/>
          <w:u w:val="none"/>
        </w:rPr>
        <w:t>Será concedido tratamento favorecido para as microempresas e empresas de pequeno porte, para as sociedades coope</w:t>
      </w:r>
      <w:r>
        <w:rPr>
          <w:rFonts w:hint="default" w:ascii="Arial" w:hAnsi="Arial" w:cs="Arial"/>
          <w:i w:val="0"/>
          <w:color w:val="auto"/>
          <w:sz w:val="18"/>
          <w:szCs w:val="18"/>
          <w:highlight w:val="none"/>
        </w:rPr>
        <w:t xml:space="preserv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48752AB9">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5"/>
        </w:numPr>
        <w:tabs>
          <w:tab w:val="left" w:pos="851"/>
          <w:tab w:val="left" w:pos="993"/>
        </w:tabs>
        <w:spacing w:before="0" w:after="0" w:line="360" w:lineRule="auto"/>
        <w:ind w:left="0" w:firstLine="0"/>
        <w:rPr>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7"/>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3D19AD4">
      <w:pPr>
        <w:pStyle w:val="303"/>
        <w:tabs>
          <w:tab w:val="left" w:pos="851"/>
          <w:tab w:val="left" w:pos="993"/>
        </w:tabs>
        <w:spacing w:before="0" w:after="0" w:line="240" w:lineRule="auto"/>
        <w:rPr>
          <w:rFonts w:hint="default" w:ascii="Arial" w:hAnsi="Arial" w:cs="Arial"/>
          <w:sz w:val="18"/>
          <w:szCs w:val="18"/>
        </w:rPr>
      </w:pPr>
    </w:p>
    <w:p w14:paraId="7243FDAC">
      <w:pPr>
        <w:pStyle w:val="303"/>
        <w:tabs>
          <w:tab w:val="left" w:pos="851"/>
          <w:tab w:val="left" w:pos="993"/>
        </w:tabs>
        <w:spacing w:before="0" w:after="0" w:line="240" w:lineRule="auto"/>
        <w:rPr>
          <w:rFonts w:hint="default" w:ascii="Arial" w:hAnsi="Arial" w:cs="Arial"/>
          <w:sz w:val="18"/>
          <w:szCs w:val="18"/>
        </w:rPr>
      </w:pPr>
    </w:p>
    <w:p w14:paraId="1E774056">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2A13E2E7">
      <w:pPr>
        <w:pStyle w:val="220"/>
        <w:numPr>
          <w:ilvl w:val="3"/>
          <w:numId w:val="1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cs="Arial"/>
          <w:b/>
          <w:bCs/>
          <w:color w:val="000000"/>
          <w:sz w:val="18"/>
          <w:szCs w:val="18"/>
          <w:lang w:val="pt-BR"/>
        </w:rPr>
      </w:pPr>
      <w:r>
        <w:rPr>
          <w:rFonts w:hint="default" w:ascii="Arial" w:hAnsi="Arial"/>
          <w:sz w:val="18"/>
          <w:szCs w:val="18"/>
        </w:rPr>
        <w:t>Comprovação de aptidão para o fornecimento de bens similares, com complexidade tecnológica e operacional equivalente ou superior ao objeto ou ao item pertinente, por meio da apresentação de certidões ou atestados emitidos por pessoas jurídicas de direito público ou privado.</w:t>
      </w:r>
      <w:r>
        <w:rPr>
          <w:rFonts w:ascii="Arial" w:hAnsi="Arial" w:cs="Arial"/>
          <w:sz w:val="18"/>
          <w:szCs w:val="18"/>
        </w:rPr>
        <w:t xml:space="preserve"> </w:t>
      </w:r>
    </w:p>
    <w:p w14:paraId="16A7366C">
      <w:pPr>
        <w:pStyle w:val="220"/>
        <w:numPr>
          <w:ilvl w:val="3"/>
          <w:numId w:val="1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Alvará Sanitário;</w:t>
      </w:r>
    </w:p>
    <w:p w14:paraId="5493EE1B">
      <w:pPr>
        <w:pStyle w:val="220"/>
        <w:numPr>
          <w:ilvl w:val="3"/>
          <w:numId w:val="1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Registro no CNES (Cadastro Nacional de Estabelecimento de Saúde)</w:t>
      </w:r>
    </w:p>
    <w:p w14:paraId="341952C1">
      <w:pPr>
        <w:pStyle w:val="220"/>
        <w:numPr>
          <w:ilvl w:val="3"/>
          <w:numId w:val="1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CRM - Registro nos Conselhos Regionais de Medicina</w:t>
      </w:r>
    </w:p>
    <w:p w14:paraId="764AC054">
      <w:pPr>
        <w:pStyle w:val="220"/>
        <w:numPr>
          <w:ilvl w:val="3"/>
          <w:numId w:val="1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Registro COREN Enfermagem</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434F2151">
      <w:pPr>
        <w:pStyle w:val="278"/>
        <w:numPr>
          <w:ilvl w:val="1"/>
          <w:numId w:val="15"/>
        </w:numPr>
        <w:spacing w:before="0" w:line="360" w:lineRule="auto"/>
        <w:ind w:left="0" w:firstLine="0"/>
        <w:rPr>
          <w:rFonts w:hint="default" w:ascii="Arial" w:hAnsi="Arial" w:eastAsia="Times New Roman"/>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0906031">
      <w:pPr>
        <w:pStyle w:val="278"/>
        <w:numPr>
          <w:ilvl w:val="1"/>
          <w:numId w:val="15"/>
        </w:numPr>
        <w:spacing w:before="0" w:line="360" w:lineRule="auto"/>
        <w:ind w:left="0" w:firstLine="0"/>
        <w:rPr>
          <w:rFonts w:hint="default" w:ascii="Arial" w:hAnsi="Arial" w:eastAsia="Times New Roman"/>
          <w:sz w:val="18"/>
          <w:szCs w:val="18"/>
          <w:highlight w:val="yellow"/>
        </w:rPr>
      </w:pPr>
      <w:r>
        <w:rPr>
          <w:rFonts w:hint="default" w:ascii="Arial" w:hAnsi="Arial" w:eastAsia="Times New Roman"/>
          <w:sz w:val="18"/>
          <w:szCs w:val="18"/>
          <w:highlight w:val="yellow"/>
        </w:rPr>
        <w:t xml:space="preserve">Caso seja adjudicado/ homologado o objeto da licitação a seu favor, a licitante, antes da assinatura do contrato, no prazo de 15 (quinze) dias úteis, a contar da data da homologação/adjudicação, apresentará os seguintes documentos: </w:t>
      </w:r>
    </w:p>
    <w:p w14:paraId="32C7A1F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a) Cópia do CRLV - Certificado de Registro e Licenciamento de Veículo para a comprovação do ano de fabricação, propriedade, posse ou a locação dos veículos a serem utilizados nos serviços.</w:t>
      </w:r>
    </w:p>
    <w:p w14:paraId="2F7BEC0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b) Cópia da apólice de seguro, demonstrado que os veículos a serem utilizados nos serviços, estão segurados contra acidentes pessoais e terceiros, por evento.</w:t>
      </w:r>
    </w:p>
    <w:p w14:paraId="790D23A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c) Utilizar, na prestação dos serviços, veículos com equipamentos médicos para a respectiva função, estando os mesmos em conformidade com a legislação pertinente.</w:t>
      </w:r>
    </w:p>
    <w:p w14:paraId="114A0FB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eastAsia="Times New Roman"/>
          <w:sz w:val="18"/>
          <w:szCs w:val="18"/>
          <w:highlight w:val="yellow"/>
        </w:rPr>
      </w:pPr>
      <w:r>
        <w:rPr>
          <w:rFonts w:hint="default" w:ascii="Arial" w:hAnsi="Arial" w:eastAsia="Times New Roman"/>
          <w:sz w:val="18"/>
          <w:szCs w:val="18"/>
          <w:highlight w:val="yellow"/>
        </w:rPr>
        <w:t>d) Responsável</w:t>
      </w:r>
      <w:r>
        <w:rPr>
          <w:rFonts w:hint="default" w:eastAsia="Times New Roman"/>
          <w:sz w:val="18"/>
          <w:szCs w:val="18"/>
          <w:highlight w:val="yellow"/>
          <w:lang w:val="pt-BR"/>
        </w:rPr>
        <w:t xml:space="preserve">: </w:t>
      </w:r>
      <w:r>
        <w:rPr>
          <w:rFonts w:hint="default" w:ascii="Arial" w:hAnsi="Arial" w:eastAsia="Times New Roman"/>
          <w:sz w:val="18"/>
          <w:szCs w:val="18"/>
          <w:highlight w:val="yellow"/>
        </w:rPr>
        <w:t>Simonne de Sousa Montes</w:t>
      </w:r>
      <w:r>
        <w:rPr>
          <w:rFonts w:hint="default" w:eastAsia="Times New Roman"/>
          <w:sz w:val="18"/>
          <w:szCs w:val="18"/>
          <w:highlight w:val="yellow"/>
          <w:lang w:val="pt-BR"/>
        </w:rPr>
        <w:t xml:space="preserve"> - </w:t>
      </w:r>
      <w:r>
        <w:rPr>
          <w:rFonts w:hint="default" w:ascii="Arial" w:hAnsi="Arial" w:eastAsia="Times New Roman"/>
          <w:sz w:val="18"/>
          <w:szCs w:val="18"/>
          <w:highlight w:val="yellow"/>
        </w:rPr>
        <w:t xml:space="preserve">E-mail: </w:t>
      </w:r>
      <w:r>
        <w:rPr>
          <w:rFonts w:hint="default" w:ascii="Arial" w:hAnsi="Arial" w:eastAsia="Times New Roman"/>
          <w:sz w:val="18"/>
          <w:szCs w:val="18"/>
          <w:highlight w:val="yellow"/>
        </w:rPr>
        <w:fldChar w:fldCharType="begin"/>
      </w:r>
      <w:r>
        <w:rPr>
          <w:rFonts w:hint="default" w:ascii="Arial" w:hAnsi="Arial" w:eastAsia="Times New Roman"/>
          <w:sz w:val="18"/>
          <w:szCs w:val="18"/>
          <w:highlight w:val="yellow"/>
        </w:rPr>
        <w:instrText xml:space="preserve"> HYPERLINK "mailto:licitacaosaudecataguases@gmail.com" </w:instrText>
      </w:r>
      <w:r>
        <w:rPr>
          <w:rFonts w:hint="default" w:ascii="Arial" w:hAnsi="Arial" w:eastAsia="Times New Roman"/>
          <w:sz w:val="18"/>
          <w:szCs w:val="18"/>
          <w:highlight w:val="yellow"/>
        </w:rPr>
        <w:fldChar w:fldCharType="separate"/>
      </w:r>
      <w:r>
        <w:rPr>
          <w:rStyle w:val="11"/>
          <w:rFonts w:hint="default" w:ascii="Arial" w:hAnsi="Arial" w:eastAsia="Times New Roman"/>
          <w:sz w:val="18"/>
          <w:szCs w:val="18"/>
          <w:highlight w:val="yellow"/>
        </w:rPr>
        <w:t>licitacaosaudecataguases@gmail.com</w:t>
      </w:r>
      <w:r>
        <w:rPr>
          <w:rFonts w:hint="default" w:ascii="Arial" w:hAnsi="Arial" w:eastAsia="Times New Roman"/>
          <w:sz w:val="18"/>
          <w:szCs w:val="18"/>
          <w:highlight w:val="yellow"/>
        </w:rPr>
        <w:fldChar w:fldCharType="end"/>
      </w:r>
      <w:r>
        <w:rPr>
          <w:rFonts w:hint="default" w:eastAsia="Times New Roman"/>
          <w:sz w:val="18"/>
          <w:szCs w:val="18"/>
          <w:highlight w:val="yellow"/>
          <w:lang w:val="pt-BR"/>
        </w:rPr>
        <w:t xml:space="preserve"> - </w:t>
      </w:r>
      <w:r>
        <w:rPr>
          <w:rFonts w:hint="default" w:ascii="Arial" w:hAnsi="Arial" w:eastAsia="Times New Roman"/>
          <w:sz w:val="18"/>
          <w:szCs w:val="18"/>
          <w:highlight w:val="yellow"/>
        </w:rPr>
        <w:t>Tefefone: 32-3429-2600 ramal: 202</w:t>
      </w:r>
    </w:p>
    <w:p w14:paraId="0D960963">
      <w:pPr>
        <w:tabs>
          <w:tab w:val="left" w:pos="567"/>
        </w:tabs>
        <w:rPr>
          <w:rFonts w:hint="default" w:ascii="Arial" w:hAnsi="Arial" w:cs="Arial"/>
          <w:sz w:val="18"/>
          <w:szCs w:val="18"/>
        </w:rPr>
      </w:pP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4814CFD8">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0047005E">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 xml:space="preserve">02.009 – FUNDO MUNICIPAL DE SAÚDE </w:t>
      </w:r>
    </w:p>
    <w:p w14:paraId="098D226A">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2.099 – Gestão do Serviço de Regulação, Controle, Auditoria e Avaliação.</w:t>
      </w:r>
    </w:p>
    <w:p w14:paraId="328D5C9C">
      <w:pPr>
        <w:pStyle w:val="220"/>
        <w:tabs>
          <w:tab w:val="left" w:pos="851"/>
          <w:tab w:val="left" w:pos="993"/>
        </w:tabs>
        <w:spacing w:line="360" w:lineRule="auto"/>
        <w:ind w:left="0"/>
        <w:jc w:val="both"/>
        <w:rPr>
          <w:rFonts w:hint="default" w:ascii="Arial" w:hAnsi="Arial"/>
          <w:b w:val="0"/>
          <w:bCs w:val="0"/>
          <w:sz w:val="18"/>
          <w:szCs w:val="18"/>
        </w:rPr>
      </w:pPr>
      <w:r>
        <w:rPr>
          <w:rFonts w:hint="default" w:ascii="Arial" w:hAnsi="Arial"/>
          <w:b w:val="0"/>
          <w:bCs w:val="0"/>
          <w:sz w:val="18"/>
          <w:szCs w:val="18"/>
        </w:rPr>
        <w:t>3.3.90.39.00.00.00.00 - 1.500 – Outros Serviços de Terceiros Pessoa Jurídica (Ficha: 463)</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w:t>
      </w:r>
      <w:r>
        <w:rPr>
          <w:rFonts w:hint="default" w:ascii="Arial" w:hAnsi="Arial" w:eastAsia="Arial"/>
          <w:b w:val="0"/>
          <w:bCs w:val="0"/>
          <w:color w:val="000000" w:themeColor="text1"/>
          <w:sz w:val="18"/>
          <w:szCs w:val="18"/>
          <w:highlight w:val="none"/>
          <w:lang w:val="pt-BR"/>
          <w14:textFill>
            <w14:solidFill>
              <w14:schemeClr w14:val="tx1"/>
            </w14:solidFill>
          </w14:textFill>
        </w:rPr>
        <w:t>426.540,00 (um milhão, quatrocentos e vinte e seis mil e quinhentos e quarenta reais</w:t>
      </w:r>
      <w:r>
        <w:rPr>
          <w:rFonts w:hint="default" w:ascii="Arial" w:hAnsi="Arial" w:eastAsia="Arial"/>
          <w:b w:val="0"/>
          <w:bCs w:val="0"/>
          <w:color w:val="000000" w:themeColor="text1"/>
          <w:sz w:val="18"/>
          <w:szCs w:val="18"/>
          <w:highlight w:val="none"/>
          <w14:textFill>
            <w14:solidFill>
              <w14:schemeClr w14:val="tx1"/>
            </w14:solidFill>
          </w14:textFill>
        </w:rPr>
        <w:t>)</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6"/>
    <w:bookmarkEnd w:id="27"/>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7"/>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7"/>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7"/>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7"/>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8"/>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8"/>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9"/>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9"/>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9"/>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9"/>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0E4919D1">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370D1F97">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bookmarkStart w:id="28" w:name="_Toc122606112"/>
    </w:p>
    <w:p w14:paraId="06A12CC3">
      <w:pPr>
        <w:pStyle w:val="303"/>
        <w:spacing w:before="0" w:after="0" w:line="240" w:lineRule="auto"/>
        <w:rPr>
          <w:rFonts w:hint="default" w:ascii="Arial" w:hAnsi="Arial" w:cs="Arial"/>
          <w:color w:val="auto"/>
          <w:sz w:val="18"/>
          <w:szCs w:val="18"/>
        </w:rPr>
      </w:pPr>
    </w:p>
    <w:p w14:paraId="6DC978B9">
      <w:pPr>
        <w:pStyle w:val="303"/>
        <w:numPr>
          <w:ilvl w:val="0"/>
          <w:numId w:val="20"/>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10</w:t>
      </w:r>
      <w:r>
        <w:rPr>
          <w:rFonts w:hint="default" w:cs="Arial"/>
          <w:sz w:val="18"/>
          <w:szCs w:val="18"/>
          <w:u w:val="single"/>
          <w:lang w:val="pt-BR"/>
        </w:rPr>
        <w:t xml:space="preserve"> de novembro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24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5"/>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4"/>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r>
        <w:rPr>
          <w:rFonts w:hint="default" w:cs="Arial"/>
          <w:sz w:val="18"/>
          <w:szCs w:val="18"/>
          <w:lang w:val="pt-BR"/>
        </w:rPr>
        <w:t xml:space="preserve"> alterada</w:t>
      </w:r>
    </w:p>
    <w:p w14:paraId="7EF22980">
      <w:pPr>
        <w:pStyle w:val="304"/>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4"/>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4"/>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4"/>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8"/>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8"/>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4AC67668">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XIV - Parecer da pregoeira impugnação</w:t>
      </w:r>
    </w:p>
    <w:p w14:paraId="3F44A82B">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 - Parecer da Secretaria de Saúde impugnação</w:t>
      </w:r>
    </w:p>
    <w:p w14:paraId="11374433">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Resposta esclarecimentos da Secretaria de Saúde</w:t>
      </w:r>
    </w:p>
    <w:p w14:paraId="2F744CC0">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Ofício da Secretaria de Saúde</w:t>
      </w:r>
    </w:p>
    <w:p w14:paraId="29CB569C">
      <w:pPr>
        <w:pStyle w:val="298"/>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XVIII - Parecer jurídico retificação</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23 de outubro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2D0DBE12">
      <w:pPr>
        <w:jc w:val="center"/>
        <w:rPr>
          <w:rFonts w:ascii="Arial" w:hAnsi="Arial" w:cs="Arial"/>
          <w:b/>
          <w:bCs/>
          <w:color w:val="auto"/>
          <w:sz w:val="32"/>
          <w:szCs w:val="32"/>
        </w:rPr>
      </w:pPr>
    </w:p>
    <w:p w14:paraId="55E18CDB">
      <w:pPr>
        <w:jc w:val="center"/>
        <w:rPr>
          <w:rFonts w:ascii="Arial" w:hAnsi="Arial" w:cs="Arial"/>
          <w:b/>
          <w:bCs/>
          <w:color w:val="auto"/>
          <w:sz w:val="32"/>
          <w:szCs w:val="32"/>
        </w:rPr>
      </w:pPr>
    </w:p>
    <w:p w14:paraId="73275901">
      <w:pPr>
        <w:jc w:val="center"/>
        <w:rPr>
          <w:rFonts w:ascii="Arial" w:hAnsi="Arial" w:cs="Arial"/>
          <w:b/>
          <w:bCs/>
          <w:color w:val="auto"/>
          <w:sz w:val="32"/>
          <w:szCs w:val="32"/>
        </w:rPr>
      </w:pPr>
    </w:p>
    <w:p w14:paraId="7D456129">
      <w:pPr>
        <w:jc w:val="center"/>
        <w:rPr>
          <w:rFonts w:ascii="Arial" w:hAnsi="Arial" w:cs="Arial"/>
          <w:b/>
          <w:bCs/>
          <w:color w:val="auto"/>
          <w:sz w:val="32"/>
          <w:szCs w:val="32"/>
        </w:rPr>
      </w:pPr>
    </w:p>
    <w:p w14:paraId="10AC795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072/2025</w:t>
      </w:r>
    </w:p>
    <w:p w14:paraId="5C3425F6">
      <w:pPr>
        <w:jc w:val="center"/>
        <w:rPr>
          <w:rFonts w:ascii="Arial" w:hAnsi="Arial" w:cs="Arial"/>
          <w:b/>
          <w:bCs/>
          <w:color w:val="000000"/>
          <w:sz w:val="20"/>
          <w:szCs w:val="20"/>
        </w:rPr>
      </w:pPr>
    </w:p>
    <w:p w14:paraId="0776F281">
      <w:pPr>
        <w:pStyle w:val="220"/>
        <w:numPr>
          <w:ilvl w:val="0"/>
          <w:numId w:val="21"/>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11A3A53">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76"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76" w:lineRule="auto"/>
        <w:ind w:left="0" w:right="0"/>
        <w:jc w:val="center"/>
        <w:rPr>
          <w:rFonts w:hint="default" w:ascii="Arial" w:hAnsi="Arial" w:cs="Arial"/>
          <w:b/>
          <w:sz w:val="17"/>
          <w:szCs w:val="17"/>
        </w:rPr>
      </w:pPr>
    </w:p>
    <w:p w14:paraId="6A058D41">
      <w:pPr>
        <w:pageBreakBefore w:val="0"/>
        <w:widowControl/>
        <w:numPr>
          <w:ilvl w:val="0"/>
          <w:numId w:val="22"/>
        </w:numPr>
        <w:kinsoku/>
        <w:wordWrap/>
        <w:overflowPunct/>
        <w:topLinePunct w:val="0"/>
        <w:autoSpaceDE w:val="0"/>
        <w:autoSpaceDN w:val="0"/>
        <w:bidi w:val="0"/>
        <w:adjustRightInd w:val="0"/>
        <w:snapToGrid/>
        <w:spacing w:line="276" w:lineRule="auto"/>
        <w:ind w:left="0" w:right="0"/>
        <w:jc w:val="left"/>
        <w:rPr>
          <w:rFonts w:hint="default" w:ascii="Arial" w:hAnsi="Arial" w:eastAsia="Times New Roman" w:cs="Arial"/>
          <w:b/>
          <w:sz w:val="17"/>
          <w:szCs w:val="17"/>
        </w:rPr>
      </w:pPr>
      <w:r>
        <w:rPr>
          <w:rFonts w:hint="default" w:ascii="Arial" w:hAnsi="Arial" w:eastAsia="Times New Roman" w:cs="Arial"/>
          <w:b/>
          <w:sz w:val="17"/>
          <w:szCs w:val="17"/>
        </w:rPr>
        <w:t>CONDIÇÕES GERAIS DA CONTRATAÇÃO</w:t>
      </w:r>
    </w:p>
    <w:p w14:paraId="13DEC632">
      <w:pPr>
        <w:pStyle w:val="303"/>
        <w:pageBreakBefore w:val="0"/>
        <w:widowControl/>
        <w:numPr>
          <w:ilvl w:val="0"/>
          <w:numId w:val="0"/>
        </w:numPr>
        <w:kinsoku/>
        <w:wordWrap/>
        <w:overflowPunct/>
        <w:topLinePunct w:val="0"/>
        <w:autoSpaceDE w:val="0"/>
        <w:autoSpaceDN w:val="0"/>
        <w:bidi w:val="0"/>
        <w:adjustRightInd w:val="0"/>
        <w:snapToGrid/>
        <w:spacing w:before="0" w:after="0"/>
        <w:ind w:left="0" w:leftChars="0" w:right="0" w:firstLine="7" w:firstLineChars="0"/>
        <w:rPr>
          <w:rStyle w:val="336"/>
          <w:rFonts w:hint="default" w:ascii="Arial" w:hAnsi="Arial" w:eastAsia="Tahoma" w:cs="Arial"/>
          <w:sz w:val="17"/>
          <w:szCs w:val="17"/>
        </w:rPr>
      </w:pPr>
      <w:r>
        <w:rPr>
          <w:rFonts w:hint="default" w:ascii="Arial" w:hAnsi="Arial" w:eastAsia="Times New Roman" w:cs="Arial"/>
          <w:b/>
          <w:sz w:val="17"/>
          <w:szCs w:val="17"/>
        </w:rPr>
        <w:t>1.1.</w:t>
      </w:r>
      <w:r>
        <w:rPr>
          <w:rFonts w:hint="default" w:ascii="Arial" w:hAnsi="Arial" w:eastAsia="Times New Roman" w:cs="Arial"/>
          <w:sz w:val="17"/>
          <w:szCs w:val="17"/>
        </w:rPr>
        <w:t xml:space="preserve"> O presente documento tem por objetivo estabelecer as condições gerais que orientarão o processo licitatório na </w:t>
      </w:r>
      <w:r>
        <w:rPr>
          <w:rFonts w:hint="default" w:ascii="Arial" w:hAnsi="Arial" w:eastAsia="Times New Roman" w:cs="Arial"/>
          <w:b/>
          <w:sz w:val="17"/>
          <w:szCs w:val="17"/>
        </w:rPr>
        <w:t xml:space="preserve">modalidade Pregão Eletrônico, pelo sistema de Registro de Preços, tipo Menor </w:t>
      </w:r>
      <w:r>
        <w:rPr>
          <w:rFonts w:hint="default" w:ascii="Arial" w:hAnsi="Arial" w:eastAsia="Tahoma" w:cs="Arial"/>
          <w:b/>
          <w:sz w:val="17"/>
          <w:szCs w:val="17"/>
        </w:rPr>
        <w:t>Preço por Item,</w:t>
      </w:r>
      <w:r>
        <w:rPr>
          <w:rFonts w:hint="default" w:ascii="Arial" w:hAnsi="Arial" w:eastAsia="Tahoma" w:cs="Arial"/>
          <w:sz w:val="17"/>
          <w:szCs w:val="17"/>
        </w:rPr>
        <w:t xml:space="preserve"> </w:t>
      </w:r>
      <w:r>
        <w:rPr>
          <w:rFonts w:hint="default" w:ascii="Arial" w:hAnsi="Arial" w:cs="Arial"/>
          <w:sz w:val="17"/>
          <w:szCs w:val="17"/>
        </w:rPr>
        <w:t xml:space="preserve">para contratação de empresa especializada em prestação de serviços de locação de ambulância de UTI Adulto e Neonatal para atendimento a transferências de pacientes do SUS e eventos </w:t>
      </w:r>
      <w:r>
        <w:rPr>
          <w:rFonts w:hint="default" w:ascii="Arial" w:hAnsi="Arial" w:eastAsia="Tahoma" w:cs="Arial"/>
          <w:sz w:val="17"/>
          <w:szCs w:val="17"/>
        </w:rPr>
        <w:t xml:space="preserve">para atender a Secretaria Municipal de Saúde da Prefeitura de Cataguases-MG, </w:t>
      </w:r>
      <w:r>
        <w:rPr>
          <w:rFonts w:hint="default" w:ascii="Arial" w:hAnsi="Arial" w:cs="Arial"/>
          <w:sz w:val="17"/>
          <w:szCs w:val="17"/>
        </w:rPr>
        <w:t xml:space="preserve">conforme condições e exigências estabelecidas neste instrumento e </w:t>
      </w:r>
      <w:r>
        <w:rPr>
          <w:rStyle w:val="336"/>
          <w:rFonts w:hint="default" w:ascii="Arial" w:hAnsi="Arial" w:cs="Arial"/>
          <w:sz w:val="17"/>
          <w:szCs w:val="17"/>
        </w:rPr>
        <w:t>com base nos parâmetros da Lei 14.133/2021.</w:t>
      </w:r>
    </w:p>
    <w:p w14:paraId="2195B0C6">
      <w:pPr>
        <w:pageBreakBefore w:val="0"/>
        <w:widowControl/>
        <w:shd w:val="clear" w:color="auto" w:fill="FFFFFF"/>
        <w:kinsoku/>
        <w:wordWrap/>
        <w:overflowPunct/>
        <w:topLinePunct w:val="0"/>
        <w:bidi w:val="0"/>
        <w:snapToGrid/>
        <w:spacing w:line="276" w:lineRule="auto"/>
        <w:ind w:left="0" w:leftChars="0" w:right="0" w:firstLine="7" w:firstLineChars="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1.2.</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sz w:val="17"/>
          <w:szCs w:val="17"/>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7"/>
          <w:szCs w:val="17"/>
        </w:rPr>
        <w:t>.</w:t>
      </w:r>
    </w:p>
    <w:p w14:paraId="44CB6965">
      <w:pPr>
        <w:pageBreakBefore w:val="0"/>
        <w:widowControl/>
        <w:shd w:val="clear" w:color="auto" w:fill="FFFFFF"/>
        <w:kinsoku/>
        <w:wordWrap/>
        <w:overflowPunct/>
        <w:topLinePunct w:val="0"/>
        <w:bidi w:val="0"/>
        <w:snapToGrid/>
        <w:spacing w:line="276" w:lineRule="auto"/>
        <w:ind w:left="0" w:leftChars="0" w:right="0" w:firstLine="7" w:firstLineChars="0"/>
        <w:jc w:val="both"/>
        <w:textAlignment w:val="center"/>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O objeto desta contratação não se enquadra como sendo de bem de luxo, conforme Decreto nº 10.818, de 27 de setembro de 2021.</w:t>
      </w:r>
    </w:p>
    <w:p w14:paraId="0ACF1701">
      <w:pPr>
        <w:pageBreakBefore w:val="0"/>
        <w:widowControl/>
        <w:shd w:val="clear" w:color="auto" w:fill="FFFFFF"/>
        <w:kinsoku/>
        <w:wordWrap/>
        <w:overflowPunct/>
        <w:topLinePunct w:val="0"/>
        <w:bidi w:val="0"/>
        <w:snapToGrid/>
        <w:spacing w:line="276" w:lineRule="auto"/>
        <w:ind w:left="0" w:leftChars="0" w:right="0" w:firstLine="7" w:firstLineChars="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prazo de vigência da contratação será de 12 (doze) meses a contar da data de Homologação da Ata, podendo ser prorrogado de acordo com a Lei vigente.</w:t>
      </w:r>
    </w:p>
    <w:p w14:paraId="12DC5232">
      <w:pPr>
        <w:pStyle w:val="303"/>
        <w:pageBreakBefore w:val="0"/>
        <w:widowControl/>
        <w:numPr>
          <w:ilvl w:val="1"/>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1.5.</w:t>
      </w:r>
      <w:r>
        <w:rPr>
          <w:rFonts w:hint="default" w:ascii="Arial" w:hAnsi="Arial" w:cs="Arial"/>
          <w:sz w:val="17"/>
          <w:szCs w:val="17"/>
        </w:rPr>
        <w:t xml:space="preserve"> A Ata oferece maior detalhamento das regras que serão aplicadas em relação à vigência da contratação.</w:t>
      </w:r>
    </w:p>
    <w:p w14:paraId="7016EF4C">
      <w:pPr>
        <w:pStyle w:val="303"/>
        <w:pageBreakBefore w:val="0"/>
        <w:widowControl/>
        <w:numPr>
          <w:ilvl w:val="1"/>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p>
    <w:p w14:paraId="26EE1379">
      <w:pPr>
        <w:pageBreakBefore w:val="0"/>
        <w:widowControl/>
        <w:numPr>
          <w:ilvl w:val="0"/>
          <w:numId w:val="22"/>
        </w:numPr>
        <w:kinsoku/>
        <w:wordWrap/>
        <w:overflowPunct/>
        <w:topLinePunct w:val="0"/>
        <w:autoSpaceDE w:val="0"/>
        <w:autoSpaceDN w:val="0"/>
        <w:bidi w:val="0"/>
        <w:adjustRightInd w:val="0"/>
        <w:snapToGrid/>
        <w:spacing w:line="276" w:lineRule="auto"/>
        <w:ind w:left="0" w:leftChars="0" w:right="0" w:firstLine="0" w:firstLineChars="0"/>
        <w:jc w:val="left"/>
        <w:rPr>
          <w:rFonts w:hint="default" w:ascii="Arial" w:hAnsi="Arial" w:eastAsia="Times New Roman" w:cs="Arial"/>
          <w:b/>
          <w:sz w:val="17"/>
          <w:szCs w:val="17"/>
        </w:rPr>
      </w:pPr>
      <w:r>
        <w:rPr>
          <w:rFonts w:hint="default" w:ascii="Arial" w:hAnsi="Arial" w:eastAsia="Times New Roman" w:cs="Arial"/>
          <w:b/>
          <w:sz w:val="17"/>
          <w:szCs w:val="17"/>
        </w:rPr>
        <w:t>ESTIMATIVA DAS QUANTIDADES A SEREM CONTRATADAS</w:t>
      </w:r>
    </w:p>
    <w:p w14:paraId="41034C54">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2.1.</w:t>
      </w:r>
      <w:r>
        <w:rPr>
          <w:rFonts w:hint="default" w:ascii="Arial" w:hAnsi="Arial" w:eastAsia="LiberationSerif-Bold" w:cs="Arial"/>
          <w:sz w:val="17"/>
          <w:szCs w:val="17"/>
          <w:lang w:eastAsia="zh-CN"/>
        </w:rPr>
        <w:t xml:space="preserve"> </w:t>
      </w:r>
      <w:r>
        <w:rPr>
          <w:rFonts w:hint="default" w:ascii="Arial" w:hAnsi="Arial" w:cs="Arial"/>
          <w:sz w:val="17"/>
          <w:szCs w:val="17"/>
        </w:rPr>
        <w:t>A estimativa das quantidades a serem contratadas será definida com base nas demandas apresentadas pela Secretaria Municipal de Saúde e projeções futuras de atendimentos de urgência e emergência para os próximos 12 meses, considerando a sazonalidade e o aumento progressivo das demandas.</w:t>
      </w:r>
    </w:p>
    <w:p w14:paraId="13343204">
      <w:pPr>
        <w:pageBreakBefore w:val="0"/>
        <w:widowControl/>
        <w:kinsoku/>
        <w:wordWrap/>
        <w:overflowPunct/>
        <w:topLinePunct w:val="0"/>
        <w:bidi w:val="0"/>
        <w:snapToGrid/>
        <w:spacing w:line="240" w:lineRule="auto"/>
        <w:ind w:left="0" w:leftChars="0" w:right="0" w:firstLine="7"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 xml:space="preserve">2.2. </w:t>
      </w:r>
      <w:r>
        <w:rPr>
          <w:rFonts w:hint="default" w:ascii="Arial" w:hAnsi="Arial" w:eastAsia="LiberationSerif-Bold" w:cs="Arial"/>
          <w:sz w:val="17"/>
          <w:szCs w:val="17"/>
          <w:lang w:eastAsia="zh-CN"/>
        </w:rPr>
        <w:t>A estimativa segue conforme tabela abaixo:</w:t>
      </w:r>
    </w:p>
    <w:tbl>
      <w:tblPr>
        <w:tblStyle w:val="4"/>
        <w:tblW w:w="11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4537"/>
        <w:gridCol w:w="567"/>
        <w:gridCol w:w="1134"/>
        <w:gridCol w:w="1134"/>
        <w:gridCol w:w="1276"/>
        <w:gridCol w:w="1275"/>
        <w:gridCol w:w="851"/>
      </w:tblGrid>
      <w:tr w14:paraId="345C4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567" w:type="dxa"/>
            <w:tcBorders>
              <w:top w:val="single" w:color="auto" w:sz="4" w:space="0"/>
              <w:left w:val="single" w:color="auto" w:sz="4" w:space="0"/>
              <w:bottom w:val="single" w:color="auto" w:sz="4" w:space="0"/>
              <w:right w:val="single" w:color="auto" w:sz="4" w:space="0"/>
            </w:tcBorders>
          </w:tcPr>
          <w:p w14:paraId="4171D343">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Item</w:t>
            </w:r>
          </w:p>
        </w:tc>
        <w:tc>
          <w:tcPr>
            <w:tcW w:w="4537" w:type="dxa"/>
            <w:tcBorders>
              <w:top w:val="single" w:color="auto" w:sz="4" w:space="0"/>
              <w:left w:val="single" w:color="auto" w:sz="4" w:space="0"/>
              <w:bottom w:val="single" w:color="auto" w:sz="4" w:space="0"/>
              <w:right w:val="single" w:color="auto" w:sz="4" w:space="0"/>
            </w:tcBorders>
          </w:tcPr>
          <w:p w14:paraId="3345847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Descrição</w:t>
            </w:r>
          </w:p>
        </w:tc>
        <w:tc>
          <w:tcPr>
            <w:tcW w:w="567" w:type="dxa"/>
            <w:tcBorders>
              <w:top w:val="single" w:color="auto" w:sz="4" w:space="0"/>
              <w:left w:val="single" w:color="auto" w:sz="4" w:space="0"/>
              <w:bottom w:val="single" w:color="auto" w:sz="4" w:space="0"/>
              <w:right w:val="single" w:color="auto" w:sz="4" w:space="0"/>
            </w:tcBorders>
          </w:tcPr>
          <w:p w14:paraId="4AA91C4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Und</w:t>
            </w:r>
          </w:p>
        </w:tc>
        <w:tc>
          <w:tcPr>
            <w:tcW w:w="1134" w:type="dxa"/>
            <w:tcBorders>
              <w:top w:val="single" w:color="auto" w:sz="4" w:space="0"/>
              <w:left w:val="single" w:color="auto" w:sz="4" w:space="0"/>
              <w:bottom w:val="single" w:color="auto" w:sz="4" w:space="0"/>
              <w:right w:val="single" w:color="auto" w:sz="4" w:space="0"/>
            </w:tcBorders>
          </w:tcPr>
          <w:p w14:paraId="72B6DDE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Qtd</w:t>
            </w:r>
          </w:p>
        </w:tc>
        <w:tc>
          <w:tcPr>
            <w:tcW w:w="1134" w:type="dxa"/>
            <w:tcBorders>
              <w:top w:val="single" w:color="auto" w:sz="4" w:space="0"/>
              <w:left w:val="single" w:color="auto" w:sz="4" w:space="0"/>
              <w:bottom w:val="single" w:color="auto" w:sz="4" w:space="0"/>
              <w:right w:val="single" w:color="auto" w:sz="4" w:space="0"/>
            </w:tcBorders>
          </w:tcPr>
          <w:p w14:paraId="798AB76B">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Qtd mínima</w:t>
            </w:r>
          </w:p>
        </w:tc>
        <w:tc>
          <w:tcPr>
            <w:tcW w:w="1276" w:type="dxa"/>
            <w:tcBorders>
              <w:top w:val="single" w:color="auto" w:sz="4" w:space="0"/>
              <w:left w:val="single" w:color="auto" w:sz="4" w:space="0"/>
              <w:bottom w:val="single" w:color="auto" w:sz="4" w:space="0"/>
              <w:right w:val="single" w:color="auto" w:sz="4" w:space="0"/>
            </w:tcBorders>
          </w:tcPr>
          <w:p w14:paraId="6A84C4B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Valor Unitário</w:t>
            </w:r>
          </w:p>
        </w:tc>
        <w:tc>
          <w:tcPr>
            <w:tcW w:w="1275" w:type="dxa"/>
            <w:tcBorders>
              <w:top w:val="single" w:color="auto" w:sz="4" w:space="0"/>
              <w:left w:val="single" w:color="auto" w:sz="4" w:space="0"/>
              <w:bottom w:val="single" w:color="auto" w:sz="4" w:space="0"/>
              <w:right w:val="single" w:color="auto" w:sz="4" w:space="0"/>
            </w:tcBorders>
          </w:tcPr>
          <w:p w14:paraId="1689CAF9">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Valor Total</w:t>
            </w:r>
          </w:p>
        </w:tc>
        <w:tc>
          <w:tcPr>
            <w:tcW w:w="851" w:type="dxa"/>
            <w:tcBorders>
              <w:top w:val="single" w:color="auto" w:sz="4" w:space="0"/>
              <w:left w:val="single" w:color="auto" w:sz="4" w:space="0"/>
              <w:bottom w:val="single" w:color="auto" w:sz="4" w:space="0"/>
              <w:right w:val="single" w:color="auto" w:sz="4" w:space="0"/>
            </w:tcBorders>
          </w:tcPr>
          <w:p w14:paraId="4B477091">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sz w:val="17"/>
                <w:szCs w:val="17"/>
              </w:rPr>
            </w:pPr>
            <w:r>
              <w:rPr>
                <w:rFonts w:hint="default" w:ascii="Arial" w:hAnsi="Arial" w:cs="Arial"/>
                <w:b/>
                <w:sz w:val="17"/>
                <w:szCs w:val="17"/>
              </w:rPr>
              <w:t>Código</w:t>
            </w:r>
          </w:p>
        </w:tc>
      </w:tr>
      <w:tr w14:paraId="29A2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7" w:type="dxa"/>
            <w:tcBorders>
              <w:top w:val="single" w:color="auto" w:sz="4" w:space="0"/>
              <w:left w:val="single" w:color="auto" w:sz="4" w:space="0"/>
              <w:bottom w:val="single" w:color="auto" w:sz="4" w:space="0"/>
              <w:right w:val="single" w:color="auto" w:sz="4" w:space="0"/>
            </w:tcBorders>
          </w:tcPr>
          <w:p w14:paraId="1D77D80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w:t>
            </w:r>
          </w:p>
        </w:tc>
        <w:tc>
          <w:tcPr>
            <w:tcW w:w="4537" w:type="dxa"/>
            <w:tcBorders>
              <w:top w:val="single" w:color="auto" w:sz="4" w:space="0"/>
              <w:left w:val="single" w:color="auto" w:sz="4" w:space="0"/>
              <w:bottom w:val="single" w:color="auto" w:sz="4" w:space="0"/>
              <w:right w:val="single" w:color="auto" w:sz="4" w:space="0"/>
            </w:tcBorders>
          </w:tcPr>
          <w:p w14:paraId="3B05D680">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 xml:space="preserve">Locação de Ambulância UTI Móvel Adulto. Baixa Complexidade: o paciente será removido com o acompanhamento do médico, porém não estará entubado. </w:t>
            </w:r>
          </w:p>
        </w:tc>
        <w:tc>
          <w:tcPr>
            <w:tcW w:w="567" w:type="dxa"/>
            <w:tcBorders>
              <w:top w:val="single" w:color="auto" w:sz="4" w:space="0"/>
              <w:left w:val="single" w:color="auto" w:sz="4" w:space="0"/>
              <w:bottom w:val="single" w:color="auto" w:sz="4" w:space="0"/>
              <w:right w:val="single" w:color="auto" w:sz="4" w:space="0"/>
            </w:tcBorders>
            <w:vAlign w:val="center"/>
          </w:tcPr>
          <w:p w14:paraId="5A171204">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75CE265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15.000 Km</w:t>
            </w:r>
          </w:p>
        </w:tc>
        <w:tc>
          <w:tcPr>
            <w:tcW w:w="1134" w:type="dxa"/>
            <w:tcBorders>
              <w:top w:val="single" w:color="auto" w:sz="4" w:space="0"/>
              <w:left w:val="single" w:color="auto" w:sz="4" w:space="0"/>
              <w:bottom w:val="single" w:color="auto" w:sz="4" w:space="0"/>
              <w:right w:val="single" w:color="auto" w:sz="4" w:space="0"/>
            </w:tcBorders>
            <w:vAlign w:val="center"/>
          </w:tcPr>
          <w:p w14:paraId="7F508BF4">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Km</w:t>
            </w:r>
          </w:p>
        </w:tc>
        <w:tc>
          <w:tcPr>
            <w:tcW w:w="1276" w:type="dxa"/>
            <w:tcBorders>
              <w:top w:val="single" w:color="auto" w:sz="4" w:space="0"/>
              <w:left w:val="single" w:color="auto" w:sz="4" w:space="0"/>
              <w:bottom w:val="single" w:color="auto" w:sz="4" w:space="0"/>
              <w:right w:val="single" w:color="auto" w:sz="4" w:space="0"/>
            </w:tcBorders>
            <w:vAlign w:val="center"/>
          </w:tcPr>
          <w:p w14:paraId="52AEAA95">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R$ 2</w:t>
            </w:r>
            <w:r>
              <w:rPr>
                <w:rFonts w:hint="default" w:ascii="Arial" w:hAnsi="Arial" w:cs="Arial"/>
                <w:bCs/>
                <w:sz w:val="17"/>
                <w:szCs w:val="17"/>
                <w:lang w:val="pt-BR"/>
              </w:rPr>
              <w:t>3,47</w:t>
            </w:r>
          </w:p>
        </w:tc>
        <w:tc>
          <w:tcPr>
            <w:tcW w:w="1275" w:type="dxa"/>
            <w:tcBorders>
              <w:top w:val="single" w:color="auto" w:sz="4" w:space="0"/>
              <w:left w:val="single" w:color="auto" w:sz="4" w:space="0"/>
              <w:bottom w:val="single" w:color="auto" w:sz="4" w:space="0"/>
              <w:right w:val="single" w:color="auto" w:sz="4" w:space="0"/>
            </w:tcBorders>
            <w:vAlign w:val="center"/>
          </w:tcPr>
          <w:p w14:paraId="6E6A65C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R$ 3</w:t>
            </w:r>
            <w:r>
              <w:rPr>
                <w:rFonts w:hint="default" w:ascii="Arial" w:hAnsi="Arial" w:cs="Arial"/>
                <w:bCs/>
                <w:sz w:val="17"/>
                <w:szCs w:val="17"/>
                <w:lang w:val="pt-BR"/>
              </w:rPr>
              <w:t>52.050,00</w:t>
            </w:r>
          </w:p>
        </w:tc>
        <w:tc>
          <w:tcPr>
            <w:tcW w:w="851" w:type="dxa"/>
            <w:tcBorders>
              <w:top w:val="single" w:color="auto" w:sz="4" w:space="0"/>
              <w:left w:val="single" w:color="auto" w:sz="4" w:space="0"/>
              <w:bottom w:val="single" w:color="auto" w:sz="4" w:space="0"/>
              <w:right w:val="single" w:color="auto" w:sz="4" w:space="0"/>
            </w:tcBorders>
            <w:vAlign w:val="center"/>
          </w:tcPr>
          <w:p w14:paraId="55141D2C">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03F9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5488CEA8">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2</w:t>
            </w:r>
          </w:p>
        </w:tc>
        <w:tc>
          <w:tcPr>
            <w:tcW w:w="4537" w:type="dxa"/>
            <w:tcBorders>
              <w:top w:val="single" w:color="auto" w:sz="4" w:space="0"/>
              <w:left w:val="single" w:color="auto" w:sz="4" w:space="0"/>
              <w:bottom w:val="single" w:color="auto" w:sz="4" w:space="0"/>
              <w:right w:val="single" w:color="auto" w:sz="4" w:space="0"/>
            </w:tcBorders>
          </w:tcPr>
          <w:p w14:paraId="3BA7D9C5">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Móvel Adulto. Alta Complexidade: o paciente será removido com o acompanhamento médico, estando entubado e em uso de medicamento.</w:t>
            </w:r>
          </w:p>
        </w:tc>
        <w:tc>
          <w:tcPr>
            <w:tcW w:w="567" w:type="dxa"/>
            <w:tcBorders>
              <w:top w:val="single" w:color="auto" w:sz="4" w:space="0"/>
              <w:left w:val="single" w:color="auto" w:sz="4" w:space="0"/>
              <w:bottom w:val="single" w:color="auto" w:sz="4" w:space="0"/>
              <w:right w:val="single" w:color="auto" w:sz="4" w:space="0"/>
            </w:tcBorders>
            <w:vAlign w:val="center"/>
          </w:tcPr>
          <w:p w14:paraId="5C1434E3">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01989656">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15.000 Km</w:t>
            </w:r>
          </w:p>
        </w:tc>
        <w:tc>
          <w:tcPr>
            <w:tcW w:w="1134" w:type="dxa"/>
            <w:tcBorders>
              <w:top w:val="single" w:color="auto" w:sz="4" w:space="0"/>
              <w:left w:val="single" w:color="auto" w:sz="4" w:space="0"/>
              <w:bottom w:val="single" w:color="auto" w:sz="4" w:space="0"/>
              <w:right w:val="single" w:color="auto" w:sz="4" w:space="0"/>
            </w:tcBorders>
            <w:vAlign w:val="center"/>
          </w:tcPr>
          <w:p w14:paraId="435AE4F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 xml:space="preserve">10 Km </w:t>
            </w:r>
          </w:p>
        </w:tc>
        <w:tc>
          <w:tcPr>
            <w:tcW w:w="1276" w:type="dxa"/>
            <w:tcBorders>
              <w:top w:val="single" w:color="auto" w:sz="4" w:space="0"/>
              <w:left w:val="single" w:color="auto" w:sz="4" w:space="0"/>
              <w:bottom w:val="single" w:color="auto" w:sz="4" w:space="0"/>
              <w:right w:val="single" w:color="auto" w:sz="4" w:space="0"/>
            </w:tcBorders>
            <w:vAlign w:val="center"/>
          </w:tcPr>
          <w:p w14:paraId="5ADD024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37,42</w:t>
            </w:r>
          </w:p>
        </w:tc>
        <w:tc>
          <w:tcPr>
            <w:tcW w:w="1275" w:type="dxa"/>
            <w:tcBorders>
              <w:top w:val="single" w:color="auto" w:sz="4" w:space="0"/>
              <w:left w:val="single" w:color="auto" w:sz="4" w:space="0"/>
              <w:bottom w:val="single" w:color="auto" w:sz="4" w:space="0"/>
              <w:right w:val="single" w:color="auto" w:sz="4" w:space="0"/>
            </w:tcBorders>
            <w:vAlign w:val="center"/>
          </w:tcPr>
          <w:p w14:paraId="4ABBE4FC">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R$ 561.300,00</w:t>
            </w:r>
          </w:p>
        </w:tc>
        <w:tc>
          <w:tcPr>
            <w:tcW w:w="851" w:type="dxa"/>
            <w:tcBorders>
              <w:top w:val="single" w:color="auto" w:sz="4" w:space="0"/>
              <w:left w:val="single" w:color="auto" w:sz="4" w:space="0"/>
              <w:bottom w:val="single" w:color="auto" w:sz="4" w:space="0"/>
              <w:right w:val="single" w:color="auto" w:sz="4" w:space="0"/>
            </w:tcBorders>
            <w:vAlign w:val="center"/>
          </w:tcPr>
          <w:p w14:paraId="79B1A522">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0143E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661CE84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3</w:t>
            </w:r>
          </w:p>
        </w:tc>
        <w:tc>
          <w:tcPr>
            <w:tcW w:w="4537" w:type="dxa"/>
            <w:tcBorders>
              <w:top w:val="single" w:color="auto" w:sz="4" w:space="0"/>
              <w:left w:val="single" w:color="auto" w:sz="4" w:space="0"/>
              <w:bottom w:val="single" w:color="auto" w:sz="4" w:space="0"/>
              <w:right w:val="single" w:color="auto" w:sz="4" w:space="0"/>
            </w:tcBorders>
          </w:tcPr>
          <w:p w14:paraId="69597A79">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Neonatal. Baixa Complexidade: o paciente será removido com o acompanhamento do médico, porém não estará entubado.</w:t>
            </w:r>
          </w:p>
        </w:tc>
        <w:tc>
          <w:tcPr>
            <w:tcW w:w="567" w:type="dxa"/>
            <w:tcBorders>
              <w:top w:val="single" w:color="auto" w:sz="4" w:space="0"/>
              <w:left w:val="single" w:color="auto" w:sz="4" w:space="0"/>
              <w:bottom w:val="single" w:color="auto" w:sz="4" w:space="0"/>
              <w:right w:val="single" w:color="auto" w:sz="4" w:space="0"/>
            </w:tcBorders>
            <w:vAlign w:val="center"/>
          </w:tcPr>
          <w:p w14:paraId="1BA79C4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65D2186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5.000 Km</w:t>
            </w:r>
          </w:p>
        </w:tc>
        <w:tc>
          <w:tcPr>
            <w:tcW w:w="1134" w:type="dxa"/>
            <w:tcBorders>
              <w:top w:val="single" w:color="auto" w:sz="4" w:space="0"/>
              <w:left w:val="single" w:color="auto" w:sz="4" w:space="0"/>
              <w:bottom w:val="single" w:color="auto" w:sz="4" w:space="0"/>
              <w:right w:val="single" w:color="auto" w:sz="4" w:space="0"/>
            </w:tcBorders>
            <w:vAlign w:val="center"/>
          </w:tcPr>
          <w:p w14:paraId="2F503B11">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Km</w:t>
            </w:r>
          </w:p>
        </w:tc>
        <w:tc>
          <w:tcPr>
            <w:tcW w:w="1276" w:type="dxa"/>
            <w:tcBorders>
              <w:top w:val="single" w:color="auto" w:sz="4" w:space="0"/>
              <w:left w:val="single" w:color="auto" w:sz="4" w:space="0"/>
              <w:bottom w:val="single" w:color="auto" w:sz="4" w:space="0"/>
              <w:right w:val="single" w:color="auto" w:sz="4" w:space="0"/>
            </w:tcBorders>
            <w:vAlign w:val="center"/>
          </w:tcPr>
          <w:p w14:paraId="075882BE">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36,22</w:t>
            </w:r>
          </w:p>
        </w:tc>
        <w:tc>
          <w:tcPr>
            <w:tcW w:w="1275" w:type="dxa"/>
            <w:tcBorders>
              <w:top w:val="single" w:color="auto" w:sz="4" w:space="0"/>
              <w:left w:val="single" w:color="auto" w:sz="4" w:space="0"/>
              <w:bottom w:val="single" w:color="auto" w:sz="4" w:space="0"/>
              <w:right w:val="single" w:color="auto" w:sz="4" w:space="0"/>
            </w:tcBorders>
            <w:vAlign w:val="center"/>
          </w:tcPr>
          <w:p w14:paraId="377A1389">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181.100,00</w:t>
            </w:r>
          </w:p>
        </w:tc>
        <w:tc>
          <w:tcPr>
            <w:tcW w:w="851" w:type="dxa"/>
            <w:tcBorders>
              <w:top w:val="single" w:color="auto" w:sz="4" w:space="0"/>
              <w:left w:val="single" w:color="auto" w:sz="4" w:space="0"/>
              <w:bottom w:val="single" w:color="auto" w:sz="4" w:space="0"/>
              <w:right w:val="single" w:color="auto" w:sz="4" w:space="0"/>
            </w:tcBorders>
            <w:vAlign w:val="center"/>
          </w:tcPr>
          <w:p w14:paraId="3EB2B7D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69283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568B8661">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4</w:t>
            </w:r>
          </w:p>
        </w:tc>
        <w:tc>
          <w:tcPr>
            <w:tcW w:w="4537" w:type="dxa"/>
            <w:tcBorders>
              <w:top w:val="single" w:color="auto" w:sz="4" w:space="0"/>
              <w:left w:val="single" w:color="auto" w:sz="4" w:space="0"/>
              <w:bottom w:val="single" w:color="auto" w:sz="4" w:space="0"/>
              <w:right w:val="single" w:color="auto" w:sz="4" w:space="0"/>
            </w:tcBorders>
          </w:tcPr>
          <w:p w14:paraId="39DF4347">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Neonatal. Alta Complexidade: o paciente será removido com o acompanhamento médico, estando entubado e em uso de medicamento.</w:t>
            </w:r>
          </w:p>
        </w:tc>
        <w:tc>
          <w:tcPr>
            <w:tcW w:w="567" w:type="dxa"/>
            <w:tcBorders>
              <w:top w:val="single" w:color="auto" w:sz="4" w:space="0"/>
              <w:left w:val="single" w:color="auto" w:sz="4" w:space="0"/>
              <w:bottom w:val="single" w:color="auto" w:sz="4" w:space="0"/>
              <w:right w:val="single" w:color="auto" w:sz="4" w:space="0"/>
            </w:tcBorders>
            <w:vAlign w:val="center"/>
          </w:tcPr>
          <w:p w14:paraId="16EA077D">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KM</w:t>
            </w:r>
          </w:p>
        </w:tc>
        <w:tc>
          <w:tcPr>
            <w:tcW w:w="1134" w:type="dxa"/>
            <w:tcBorders>
              <w:top w:val="single" w:color="auto" w:sz="4" w:space="0"/>
              <w:left w:val="single" w:color="auto" w:sz="4" w:space="0"/>
              <w:bottom w:val="single" w:color="auto" w:sz="4" w:space="0"/>
              <w:right w:val="single" w:color="auto" w:sz="4" w:space="0"/>
            </w:tcBorders>
            <w:vAlign w:val="center"/>
          </w:tcPr>
          <w:p w14:paraId="28A1533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5.000 Km</w:t>
            </w:r>
          </w:p>
        </w:tc>
        <w:tc>
          <w:tcPr>
            <w:tcW w:w="1134" w:type="dxa"/>
            <w:tcBorders>
              <w:top w:val="single" w:color="auto" w:sz="4" w:space="0"/>
              <w:left w:val="single" w:color="auto" w:sz="4" w:space="0"/>
              <w:bottom w:val="single" w:color="auto" w:sz="4" w:space="0"/>
              <w:right w:val="single" w:color="auto" w:sz="4" w:space="0"/>
            </w:tcBorders>
            <w:vAlign w:val="center"/>
          </w:tcPr>
          <w:p w14:paraId="6250603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Km</w:t>
            </w:r>
          </w:p>
        </w:tc>
        <w:tc>
          <w:tcPr>
            <w:tcW w:w="1276" w:type="dxa"/>
            <w:tcBorders>
              <w:top w:val="single" w:color="auto" w:sz="4" w:space="0"/>
              <w:left w:val="single" w:color="auto" w:sz="4" w:space="0"/>
              <w:bottom w:val="single" w:color="auto" w:sz="4" w:space="0"/>
              <w:right w:val="single" w:color="auto" w:sz="4" w:space="0"/>
            </w:tcBorders>
            <w:vAlign w:val="center"/>
          </w:tcPr>
          <w:p w14:paraId="128A3C0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40,18</w:t>
            </w:r>
          </w:p>
        </w:tc>
        <w:tc>
          <w:tcPr>
            <w:tcW w:w="1275" w:type="dxa"/>
            <w:tcBorders>
              <w:top w:val="single" w:color="auto" w:sz="4" w:space="0"/>
              <w:left w:val="single" w:color="auto" w:sz="4" w:space="0"/>
              <w:bottom w:val="single" w:color="auto" w:sz="4" w:space="0"/>
              <w:right w:val="single" w:color="auto" w:sz="4" w:space="0"/>
            </w:tcBorders>
            <w:vAlign w:val="center"/>
          </w:tcPr>
          <w:p w14:paraId="3B24EAA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200.900,00</w:t>
            </w:r>
          </w:p>
        </w:tc>
        <w:tc>
          <w:tcPr>
            <w:tcW w:w="851" w:type="dxa"/>
            <w:tcBorders>
              <w:top w:val="single" w:color="auto" w:sz="4" w:space="0"/>
              <w:left w:val="single" w:color="auto" w:sz="4" w:space="0"/>
              <w:bottom w:val="single" w:color="auto" w:sz="4" w:space="0"/>
              <w:right w:val="single" w:color="auto" w:sz="4" w:space="0"/>
            </w:tcBorders>
            <w:vAlign w:val="center"/>
          </w:tcPr>
          <w:p w14:paraId="7DDBB159">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5321C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7" w:type="dxa"/>
            <w:tcBorders>
              <w:top w:val="single" w:color="auto" w:sz="4" w:space="0"/>
              <w:left w:val="single" w:color="auto" w:sz="4" w:space="0"/>
              <w:bottom w:val="single" w:color="auto" w:sz="4" w:space="0"/>
              <w:right w:val="single" w:color="auto" w:sz="4" w:space="0"/>
            </w:tcBorders>
          </w:tcPr>
          <w:p w14:paraId="4ECA1BDA">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lang w:val="pt-BR"/>
              </w:rPr>
              <w:t>5</w:t>
            </w:r>
          </w:p>
        </w:tc>
        <w:tc>
          <w:tcPr>
            <w:tcW w:w="4537" w:type="dxa"/>
            <w:tcBorders>
              <w:top w:val="single" w:color="auto" w:sz="4" w:space="0"/>
              <w:left w:val="single" w:color="auto" w:sz="4" w:space="0"/>
              <w:bottom w:val="single" w:color="auto" w:sz="4" w:space="0"/>
              <w:right w:val="single" w:color="auto" w:sz="4" w:space="0"/>
            </w:tcBorders>
          </w:tcPr>
          <w:p w14:paraId="3D8B05A0">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Cs/>
                <w:sz w:val="17"/>
                <w:szCs w:val="17"/>
              </w:rPr>
            </w:pPr>
            <w:r>
              <w:rPr>
                <w:rFonts w:hint="default" w:ascii="Arial" w:hAnsi="Arial" w:cs="Arial"/>
                <w:bCs/>
                <w:sz w:val="17"/>
                <w:szCs w:val="17"/>
              </w:rPr>
              <w:t>Locação de Ambulância UTI Móvel Adulto. Alta Complexidade, para realização de eventos com exigência técnico operacional e/ou do corpo de bombeiros.</w:t>
            </w:r>
          </w:p>
        </w:tc>
        <w:tc>
          <w:tcPr>
            <w:tcW w:w="567" w:type="dxa"/>
            <w:tcBorders>
              <w:top w:val="single" w:color="auto" w:sz="4" w:space="0"/>
              <w:left w:val="single" w:color="auto" w:sz="4" w:space="0"/>
              <w:bottom w:val="single" w:color="auto" w:sz="4" w:space="0"/>
              <w:right w:val="single" w:color="auto" w:sz="4" w:space="0"/>
            </w:tcBorders>
            <w:vAlign w:val="center"/>
          </w:tcPr>
          <w:p w14:paraId="124577C5">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H</w:t>
            </w:r>
          </w:p>
        </w:tc>
        <w:tc>
          <w:tcPr>
            <w:tcW w:w="1134" w:type="dxa"/>
            <w:tcBorders>
              <w:top w:val="single" w:color="auto" w:sz="4" w:space="0"/>
              <w:left w:val="single" w:color="auto" w:sz="4" w:space="0"/>
              <w:bottom w:val="single" w:color="auto" w:sz="4" w:space="0"/>
              <w:right w:val="single" w:color="auto" w:sz="4" w:space="0"/>
            </w:tcBorders>
            <w:vAlign w:val="center"/>
          </w:tcPr>
          <w:p w14:paraId="51E5297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lang w:val="pt-BR"/>
              </w:rPr>
              <w:t>2</w:t>
            </w:r>
            <w:r>
              <w:rPr>
                <w:rFonts w:hint="default" w:ascii="Arial" w:hAnsi="Arial" w:cs="Arial"/>
                <w:bCs/>
                <w:sz w:val="17"/>
                <w:szCs w:val="17"/>
              </w:rPr>
              <w:t>00 hs</w:t>
            </w:r>
          </w:p>
        </w:tc>
        <w:tc>
          <w:tcPr>
            <w:tcW w:w="1134" w:type="dxa"/>
            <w:tcBorders>
              <w:top w:val="single" w:color="auto" w:sz="4" w:space="0"/>
              <w:left w:val="single" w:color="auto" w:sz="4" w:space="0"/>
              <w:bottom w:val="single" w:color="auto" w:sz="4" w:space="0"/>
              <w:right w:val="single" w:color="auto" w:sz="4" w:space="0"/>
            </w:tcBorders>
            <w:vAlign w:val="center"/>
          </w:tcPr>
          <w:p w14:paraId="0BF3AA20">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10 hs</w:t>
            </w:r>
          </w:p>
        </w:tc>
        <w:tc>
          <w:tcPr>
            <w:tcW w:w="1276" w:type="dxa"/>
            <w:tcBorders>
              <w:top w:val="single" w:color="auto" w:sz="4" w:space="0"/>
              <w:left w:val="single" w:color="auto" w:sz="4" w:space="0"/>
              <w:bottom w:val="single" w:color="auto" w:sz="4" w:space="0"/>
              <w:right w:val="single" w:color="auto" w:sz="4" w:space="0"/>
            </w:tcBorders>
            <w:vAlign w:val="center"/>
          </w:tcPr>
          <w:p w14:paraId="3F051536">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655,95</w:t>
            </w:r>
          </w:p>
        </w:tc>
        <w:tc>
          <w:tcPr>
            <w:tcW w:w="1275" w:type="dxa"/>
            <w:tcBorders>
              <w:top w:val="single" w:color="auto" w:sz="4" w:space="0"/>
              <w:left w:val="single" w:color="auto" w:sz="4" w:space="0"/>
              <w:bottom w:val="single" w:color="auto" w:sz="4" w:space="0"/>
              <w:right w:val="single" w:color="auto" w:sz="4" w:space="0"/>
            </w:tcBorders>
            <w:vAlign w:val="center"/>
          </w:tcPr>
          <w:p w14:paraId="382585BB">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lang w:val="pt-BR"/>
              </w:rPr>
            </w:pPr>
            <w:r>
              <w:rPr>
                <w:rFonts w:hint="default" w:ascii="Arial" w:hAnsi="Arial" w:cs="Arial"/>
                <w:bCs/>
                <w:sz w:val="17"/>
                <w:szCs w:val="17"/>
              </w:rPr>
              <w:t xml:space="preserve">R$ </w:t>
            </w:r>
            <w:r>
              <w:rPr>
                <w:rFonts w:hint="default" w:ascii="Arial" w:hAnsi="Arial" w:cs="Arial"/>
                <w:bCs/>
                <w:sz w:val="17"/>
                <w:szCs w:val="17"/>
                <w:lang w:val="pt-BR"/>
              </w:rPr>
              <w:t>131.190,00</w:t>
            </w:r>
          </w:p>
        </w:tc>
        <w:tc>
          <w:tcPr>
            <w:tcW w:w="851" w:type="dxa"/>
            <w:tcBorders>
              <w:top w:val="single" w:color="auto" w:sz="4" w:space="0"/>
              <w:left w:val="single" w:color="auto" w:sz="4" w:space="0"/>
              <w:bottom w:val="single" w:color="auto" w:sz="4" w:space="0"/>
              <w:right w:val="single" w:color="auto" w:sz="4" w:space="0"/>
            </w:tcBorders>
            <w:vAlign w:val="center"/>
          </w:tcPr>
          <w:p w14:paraId="73CE9654">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Cs/>
                <w:sz w:val="17"/>
                <w:szCs w:val="17"/>
              </w:rPr>
            </w:pPr>
            <w:r>
              <w:rPr>
                <w:rFonts w:hint="default" w:ascii="Arial" w:hAnsi="Arial" w:cs="Arial"/>
                <w:bCs/>
                <w:sz w:val="17"/>
                <w:szCs w:val="17"/>
              </w:rPr>
              <w:t>14052</w:t>
            </w:r>
          </w:p>
        </w:tc>
      </w:tr>
      <w:tr w14:paraId="00EEF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9215" w:type="dxa"/>
            <w:gridSpan w:val="6"/>
            <w:tcBorders>
              <w:top w:val="single" w:color="auto" w:sz="4" w:space="0"/>
              <w:left w:val="single" w:color="auto" w:sz="4" w:space="0"/>
              <w:bottom w:val="single" w:color="auto" w:sz="4" w:space="0"/>
              <w:right w:val="single" w:color="auto" w:sz="4" w:space="0"/>
            </w:tcBorders>
          </w:tcPr>
          <w:p w14:paraId="53C01CBD">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bCs/>
                <w:sz w:val="17"/>
                <w:szCs w:val="17"/>
              </w:rPr>
            </w:pPr>
          </w:p>
        </w:tc>
        <w:tc>
          <w:tcPr>
            <w:tcW w:w="2126" w:type="dxa"/>
            <w:gridSpan w:val="2"/>
            <w:tcBorders>
              <w:top w:val="single" w:color="auto" w:sz="4" w:space="0"/>
              <w:left w:val="single" w:color="auto" w:sz="4" w:space="0"/>
              <w:bottom w:val="single" w:color="auto" w:sz="4" w:space="0"/>
              <w:right w:val="single" w:color="auto" w:sz="4" w:space="0"/>
            </w:tcBorders>
          </w:tcPr>
          <w:p w14:paraId="2A20746F">
            <w:pPr>
              <w:pageBreakBefore w:val="0"/>
              <w:widowControl/>
              <w:kinsoku/>
              <w:wordWrap/>
              <w:overflowPunct/>
              <w:topLinePunct w:val="0"/>
              <w:bidi w:val="0"/>
              <w:snapToGrid/>
              <w:spacing w:line="240" w:lineRule="auto"/>
              <w:ind w:left="0" w:leftChars="0" w:right="0" w:firstLine="7" w:firstLineChars="0"/>
              <w:jc w:val="center"/>
              <w:rPr>
                <w:rFonts w:hint="default" w:ascii="Arial" w:hAnsi="Arial" w:cs="Arial"/>
                <w:b/>
                <w:bCs/>
                <w:sz w:val="17"/>
                <w:szCs w:val="17"/>
                <w:lang w:val="pt-BR"/>
              </w:rPr>
            </w:pPr>
            <w:r>
              <w:rPr>
                <w:rFonts w:hint="default" w:ascii="Arial" w:hAnsi="Arial" w:cs="Arial"/>
                <w:b/>
                <w:bCs/>
                <w:sz w:val="17"/>
                <w:szCs w:val="17"/>
              </w:rPr>
              <w:t>Total R$ 1.</w:t>
            </w:r>
            <w:r>
              <w:rPr>
                <w:rFonts w:hint="default" w:ascii="Arial" w:hAnsi="Arial" w:cs="Arial"/>
                <w:b/>
                <w:bCs/>
                <w:sz w:val="17"/>
                <w:szCs w:val="17"/>
                <w:lang w:val="pt-BR"/>
              </w:rPr>
              <w:t>426.540,00</w:t>
            </w:r>
          </w:p>
        </w:tc>
      </w:tr>
    </w:tbl>
    <w:p w14:paraId="63CFF7F3">
      <w:pPr>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48D012EF">
      <w:pPr>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eastAsia="Arial-BoldMT" w:cs="Arial"/>
          <w:bCs/>
          <w:color w:val="000000"/>
          <w:sz w:val="17"/>
          <w:szCs w:val="17"/>
          <w:lang w:eastAsia="pt-BR"/>
        </w:rPr>
      </w:pPr>
    </w:p>
    <w:p w14:paraId="7139F5D5">
      <w:pPr>
        <w:pStyle w:val="278"/>
        <w:pageBreakBefore w:val="0"/>
        <w:widowControl/>
        <w:numPr>
          <w:ilvl w:val="0"/>
          <w:numId w:val="22"/>
        </w:numPr>
        <w:kinsoku/>
        <w:wordWrap/>
        <w:overflowPunct/>
        <w:topLinePunct w:val="0"/>
        <w:bidi w:val="0"/>
        <w:snapToGrid/>
        <w:spacing w:before="0" w:after="0"/>
        <w:ind w:left="0" w:leftChars="0" w:right="0" w:rightChars="0" w:firstLine="0" w:firstLineChars="0"/>
        <w:rPr>
          <w:rFonts w:hint="default" w:ascii="Arial" w:hAnsi="Arial" w:cs="Arial"/>
          <w:sz w:val="17"/>
          <w:szCs w:val="17"/>
        </w:rPr>
      </w:pPr>
      <w:r>
        <w:rPr>
          <w:rFonts w:hint="default" w:ascii="Arial" w:hAnsi="Arial" w:cs="Arial"/>
          <w:sz w:val="17"/>
          <w:szCs w:val="17"/>
        </w:rPr>
        <w:t>FUNDAMENTAÇÃO E DESCRIÇÃO DA NECESSIDADE DA CONTRATAÇÃO</w:t>
      </w:r>
    </w:p>
    <w:p w14:paraId="1CABA7A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3.1.</w:t>
      </w:r>
      <w:r>
        <w:rPr>
          <w:rFonts w:hint="default" w:ascii="Arial" w:hAnsi="Arial" w:eastAsia="Times New Roman" w:cs="Arial"/>
          <w:sz w:val="17"/>
          <w:szCs w:val="17"/>
        </w:rPr>
        <w:t xml:space="preserve"> </w:t>
      </w:r>
      <w:r>
        <w:rPr>
          <w:rFonts w:hint="default" w:ascii="Arial" w:hAnsi="Arial" w:cs="Arial"/>
          <w:sz w:val="17"/>
          <w:szCs w:val="17"/>
        </w:rPr>
        <w:t xml:space="preserve">A Prefeitura Municipal de Cataguases, por meio da </w:t>
      </w:r>
      <w:r>
        <w:rPr>
          <w:rFonts w:hint="default" w:ascii="Arial" w:hAnsi="Arial" w:eastAsia="LiberationSerif-Bold" w:cs="Arial"/>
          <w:bCs/>
          <w:sz w:val="17"/>
          <w:szCs w:val="17"/>
          <w:lang w:eastAsia="zh-CN"/>
        </w:rPr>
        <w:t>Secretaria Municipal de Saúde de Cataguases, em consonância com suas atribuições de garantir atendimento adequado e eficiente aos pacientes do Sistema Único de Saúde (SUS), identificou a necessidade de contratar uma empresa especializada para a locação de Unidades de Terapia Intensiva (UTI) Adulto e Neonatal. Esta necessidade surge da demanda crescente por transporte de pacientes em estado crítico que requerem cuidados intensivos durante o processo de transferência entre unidades de saúde, tanto para tratamento especializado quanto para procedimentos médicos de alta complexidade que não estão disponíveis localmente.</w:t>
      </w:r>
    </w:p>
    <w:p w14:paraId="78C6D15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LiberationSerif-Bold" w:cs="Arial"/>
          <w:bCs/>
          <w:sz w:val="17"/>
          <w:szCs w:val="17"/>
          <w:lang w:eastAsia="zh-CN"/>
        </w:rPr>
      </w:pPr>
      <w:r>
        <w:rPr>
          <w:rFonts w:hint="default" w:ascii="Arial" w:hAnsi="Arial" w:eastAsia="Times New Roman" w:cs="Arial"/>
          <w:b/>
          <w:sz w:val="17"/>
          <w:szCs w:val="17"/>
        </w:rPr>
        <w:t>3.2.</w:t>
      </w:r>
      <w:r>
        <w:rPr>
          <w:rFonts w:hint="default" w:ascii="Arial" w:hAnsi="Arial" w:eastAsia="Times New Roman" w:cs="Arial"/>
          <w:sz w:val="17"/>
          <w:szCs w:val="17"/>
        </w:rPr>
        <w:t xml:space="preserve"> </w:t>
      </w:r>
      <w:r>
        <w:rPr>
          <w:rFonts w:hint="default" w:ascii="Arial" w:hAnsi="Arial" w:eastAsia="LiberationSerif-Bold" w:cs="Arial"/>
          <w:bCs/>
          <w:sz w:val="17"/>
          <w:szCs w:val="17"/>
          <w:lang w:eastAsia="zh-CN"/>
        </w:rPr>
        <w:t>Atualmente, o município enfrenta desafios significativos em garantir que todos os pacientes com necessidades de cuidados intensivos sejam transferidos de forma segura e eficiente para as unidades apropriadas. A falta de infraestrutura adequada para transporte desses pacientes, incluindo equipamentos especializados e equipe treinada, pode comprometer a qualidade do atendimento e a segurança dos pacientes durante a transferência. Portanto, a contratação de serviços especializados para a locação de UTI’s Adulto e Neonatal se faz essencial para assegurar que as transferências de pacientes sejam realizadas com o nível necessário de suporte médico e tecnológico, minimizando riscos e melhorando o desfecho clínico.</w:t>
      </w:r>
    </w:p>
    <w:p w14:paraId="700A80EC">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eastAsia="Times New Roman" w:cs="Arial"/>
          <w:b/>
          <w:sz w:val="17"/>
          <w:szCs w:val="17"/>
        </w:rPr>
        <w:t>3.3.</w:t>
      </w:r>
      <w:r>
        <w:rPr>
          <w:rFonts w:hint="default" w:ascii="Arial" w:hAnsi="Arial" w:cs="Arial"/>
          <w:sz w:val="17"/>
          <w:szCs w:val="17"/>
        </w:rPr>
        <w:t>Considerando a necessidade de assegurar um serviço de transporte seguro, especializado e disponível de forma contínua, a presente contratação visa estabelecer a solução mais viável técnica e economicamente para a locação de ambulâncias de UTI Adulto e Neonatal, garantindo eficiência nas atividades da administração pública e atendimento adequado à população.</w:t>
      </w:r>
    </w:p>
    <w:p w14:paraId="4E1DB9F5">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p w14:paraId="4CD88539">
      <w:pPr>
        <w:pStyle w:val="278"/>
        <w:pageBreakBefore w:val="0"/>
        <w:widowControl/>
        <w:numPr>
          <w:ilvl w:val="0"/>
          <w:numId w:val="22"/>
        </w:numPr>
        <w:kinsoku/>
        <w:wordWrap/>
        <w:overflowPunct/>
        <w:topLinePunct w:val="0"/>
        <w:bidi w:val="0"/>
        <w:snapToGrid/>
        <w:spacing w:before="0" w:after="0" w:line="312" w:lineRule="auto"/>
        <w:ind w:left="0" w:leftChars="0" w:right="0" w:firstLine="0" w:firstLineChars="0"/>
        <w:rPr>
          <w:rFonts w:hint="default" w:ascii="Arial" w:hAnsi="Arial" w:cs="Arial"/>
          <w:sz w:val="17"/>
          <w:szCs w:val="17"/>
        </w:rPr>
      </w:pPr>
      <w:r>
        <w:rPr>
          <w:rFonts w:hint="default" w:ascii="Arial" w:hAnsi="Arial" w:cs="Arial"/>
          <w:sz w:val="17"/>
          <w:szCs w:val="17"/>
        </w:rPr>
        <w:t xml:space="preserve">DESCRIÇÃO DA SOLUÇÃO COMO UM TODO CONSIDERADO O CICLO DE VIDA DO OBJETO E ESPECIFICAÇÃO DO PRODUTO. </w:t>
      </w:r>
    </w:p>
    <w:p w14:paraId="17B3BF94">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4.1.</w:t>
      </w:r>
      <w:r>
        <w:rPr>
          <w:rFonts w:hint="default" w:ascii="Arial" w:hAnsi="Arial" w:eastAsia="Times New Roman" w:cs="Arial"/>
          <w:sz w:val="17"/>
          <w:szCs w:val="17"/>
        </w:rPr>
        <w:t xml:space="preserve"> </w:t>
      </w:r>
      <w:r>
        <w:rPr>
          <w:rFonts w:hint="default" w:ascii="Arial" w:hAnsi="Arial" w:cs="Arial"/>
          <w:sz w:val="17"/>
          <w:szCs w:val="17"/>
        </w:rPr>
        <w:t>A presente solução visa garantir a prestação contínua e segura de serviços essenciais de locação de ambulâncias de UTI Adulto e Neonatal, assegurando a transferência adequada de pacientes em estado crítico entre unidades de saúde da Secretaria Municipal de Saúde de Cataguases – MG.</w:t>
      </w:r>
    </w:p>
    <w:p w14:paraId="4CDB5E3A">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4.2.</w:t>
      </w:r>
      <w:r>
        <w:rPr>
          <w:rFonts w:hint="default" w:ascii="Arial" w:hAnsi="Arial" w:eastAsia="Times New Roman" w:cs="Arial"/>
          <w:sz w:val="17"/>
          <w:szCs w:val="17"/>
        </w:rPr>
        <w:t xml:space="preserve"> </w:t>
      </w:r>
      <w:r>
        <w:rPr>
          <w:rFonts w:hint="default" w:ascii="Arial" w:hAnsi="Arial" w:cs="Arial"/>
          <w:sz w:val="17"/>
          <w:szCs w:val="17"/>
        </w:rPr>
        <w:t>A contratação será realizada por meio de Processo de Licitação na modalidade Pregão Eletrônico, para registro de preços, garantindo as melhores condições econômicas e operacionais.</w:t>
      </w:r>
    </w:p>
    <w:p w14:paraId="74CF403D">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4.3.</w:t>
      </w:r>
      <w:r>
        <w:rPr>
          <w:rFonts w:hint="default" w:ascii="Arial" w:hAnsi="Arial" w:eastAsia="Times New Roman" w:cs="Arial"/>
          <w:sz w:val="17"/>
          <w:szCs w:val="17"/>
        </w:rPr>
        <w:t xml:space="preserve"> </w:t>
      </w:r>
      <w:r>
        <w:rPr>
          <w:rFonts w:hint="default" w:ascii="Arial" w:hAnsi="Arial" w:cs="Arial"/>
          <w:sz w:val="17"/>
          <w:szCs w:val="17"/>
        </w:rPr>
        <w:t>A solução proposta assegura suporte técnico e operacional qualificado, transparência, economicidade, eficiência e ampla competitividade, atendendo aos princípios da administração pública.</w:t>
      </w:r>
    </w:p>
    <w:p w14:paraId="4AB33C07">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eastAsia="Times New Roman" w:cs="Arial"/>
          <w:b/>
          <w:sz w:val="17"/>
          <w:szCs w:val="17"/>
        </w:rPr>
        <w:t>4.4.</w:t>
      </w:r>
      <w:r>
        <w:rPr>
          <w:rFonts w:hint="default" w:ascii="Arial" w:hAnsi="Arial" w:eastAsia="Times New Roman" w:cs="Arial"/>
          <w:sz w:val="17"/>
          <w:szCs w:val="17"/>
        </w:rPr>
        <w:t xml:space="preserve"> </w:t>
      </w:r>
      <w:r>
        <w:rPr>
          <w:rFonts w:hint="default" w:ascii="Arial" w:hAnsi="Arial" w:cs="Arial"/>
          <w:sz w:val="17"/>
          <w:szCs w:val="17"/>
        </w:rPr>
        <w:t>Com a implementação desta solução, busca-se assegurar a qualidade e a segurança do transporte de pacientes, bem como a otimização dos recursos públicos e a melhoria da capacidade de resposta do sistema local de saúde.</w:t>
      </w:r>
    </w:p>
    <w:p w14:paraId="3F700A2D">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p w14:paraId="57ECDB80">
      <w:pPr>
        <w:pStyle w:val="278"/>
        <w:pageBreakBefore w:val="0"/>
        <w:widowControl/>
        <w:numPr>
          <w:ilvl w:val="0"/>
          <w:numId w:val="22"/>
        </w:numPr>
        <w:kinsoku/>
        <w:wordWrap/>
        <w:overflowPunct/>
        <w:topLinePunct w:val="0"/>
        <w:bidi w:val="0"/>
        <w:snapToGrid/>
        <w:spacing w:before="0" w:after="0"/>
        <w:ind w:left="0" w:leftChars="0" w:right="0" w:rightChars="0" w:firstLine="0" w:firstLineChars="0"/>
        <w:rPr>
          <w:rFonts w:hint="default" w:ascii="Arial" w:hAnsi="Arial" w:cs="Arial"/>
          <w:sz w:val="17"/>
          <w:szCs w:val="17"/>
        </w:rPr>
      </w:pPr>
      <w:r>
        <w:rPr>
          <w:rFonts w:hint="default" w:ascii="Arial" w:hAnsi="Arial" w:cs="Arial"/>
          <w:sz w:val="17"/>
          <w:szCs w:val="17"/>
        </w:rPr>
        <w:t>REQUISITOS DA CONTRATAÇÃO</w:t>
      </w:r>
    </w:p>
    <w:p w14:paraId="7BA175C6">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 xml:space="preserve">5.1. Sustentabilidade </w:t>
      </w:r>
    </w:p>
    <w:p w14:paraId="09BB6976">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5.1.1.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273A6549">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5.2. Subcontratação</w:t>
      </w:r>
      <w:r>
        <w:rPr>
          <w:rFonts w:hint="default" w:ascii="Arial" w:hAnsi="Arial" w:cs="Arial"/>
          <w:sz w:val="17"/>
          <w:szCs w:val="17"/>
        </w:rPr>
        <w:t xml:space="preserve"> </w:t>
      </w:r>
    </w:p>
    <w:p w14:paraId="1BB322E2">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5.2.1. </w:t>
      </w:r>
      <w:r>
        <w:rPr>
          <w:rFonts w:hint="default" w:ascii="Arial" w:hAnsi="Arial" w:cs="Arial"/>
          <w:sz w:val="17"/>
          <w:szCs w:val="17"/>
        </w:rPr>
        <w:t>É vedada a subcontratação.</w:t>
      </w:r>
    </w:p>
    <w:p w14:paraId="3DDE0106">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5.3. Garantia da Contratação</w:t>
      </w:r>
    </w:p>
    <w:p w14:paraId="3885F882">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5.3.1.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1213EE5B">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5.4. Da Indicação de </w:t>
      </w:r>
      <w:r>
        <w:rPr>
          <w:rFonts w:hint="default" w:ascii="Arial" w:hAnsi="Arial" w:cs="Arial"/>
          <w:b/>
          <w:color w:val="auto"/>
          <w:sz w:val="17"/>
          <w:szCs w:val="17"/>
        </w:rPr>
        <w:t xml:space="preserve">Marcas ou Modelos </w:t>
      </w:r>
    </w:p>
    <w:p w14:paraId="4DCF4F55">
      <w:pPr>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eastAsia="LiberationSerif-Bold" w:cs="Arial"/>
          <w:b/>
          <w:bCs/>
          <w:sz w:val="17"/>
          <w:szCs w:val="17"/>
          <w:lang w:eastAsia="zh-CN"/>
        </w:rPr>
        <w:t>5.4.1.</w:t>
      </w:r>
      <w:r>
        <w:rPr>
          <w:rFonts w:hint="default" w:ascii="Arial" w:hAnsi="Arial" w:eastAsia="LiberationSerif-Bold" w:cs="Arial"/>
          <w:bCs/>
          <w:sz w:val="17"/>
          <w:szCs w:val="17"/>
          <w:lang w:eastAsia="zh-CN"/>
        </w:rPr>
        <w:t xml:space="preserve"> </w:t>
      </w:r>
      <w:r>
        <w:rPr>
          <w:rFonts w:hint="default" w:ascii="Arial" w:hAnsi="Arial" w:cs="Arial"/>
          <w:sz w:val="17"/>
          <w:szCs w:val="17"/>
        </w:rPr>
        <w:t xml:space="preserve">Não há a necessidade de indicação de marca específica para este objeto, desde que as marcas ofertantes atendam TODAS as especificações acerca do produto que se pretende adquirir. Os modelos seguem descritos neste TR, assim como no ETP anexo a este. </w:t>
      </w:r>
    </w:p>
    <w:p w14:paraId="5110C930">
      <w:pPr>
        <w:pStyle w:val="303"/>
        <w:pageBreakBefore w:val="0"/>
        <w:widowControl/>
        <w:numPr>
          <w:ilvl w:val="0"/>
          <w:numId w:val="0"/>
        </w:numPr>
        <w:kinsoku/>
        <w:wordWrap/>
        <w:overflowPunct/>
        <w:topLinePunct w:val="0"/>
        <w:bidi w:val="0"/>
        <w:snapToGrid/>
        <w:spacing w:before="0" w:after="0" w:line="240" w:lineRule="auto"/>
        <w:ind w:left="0" w:leftChars="0" w:right="0" w:firstLine="7" w:firstLineChars="0"/>
        <w:rPr>
          <w:rFonts w:hint="default" w:ascii="Arial" w:hAnsi="Arial" w:cs="Arial"/>
          <w:b/>
          <w:sz w:val="17"/>
          <w:szCs w:val="17"/>
        </w:rPr>
      </w:pPr>
      <w:r>
        <w:rPr>
          <w:rFonts w:hint="default" w:ascii="Arial" w:hAnsi="Arial" w:cs="Arial"/>
          <w:b/>
          <w:sz w:val="17"/>
          <w:szCs w:val="17"/>
        </w:rPr>
        <w:t>5.5. Da Vedação de Marcas ou Modelos</w:t>
      </w:r>
    </w:p>
    <w:p w14:paraId="1261EDF8">
      <w:pPr>
        <w:pStyle w:val="304"/>
        <w:pageBreakBefore w:val="0"/>
        <w:widowControl/>
        <w:kinsoku/>
        <w:wordWrap/>
        <w:overflowPunct/>
        <w:topLinePunct w:val="0"/>
        <w:bidi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b/>
          <w:sz w:val="17"/>
          <w:szCs w:val="17"/>
        </w:rPr>
        <w:t>5.5.1</w:t>
      </w:r>
      <w:r>
        <w:rPr>
          <w:rFonts w:hint="default" w:ascii="Arial" w:hAnsi="Arial" w:cs="Arial"/>
          <w:sz w:val="17"/>
          <w:szCs w:val="17"/>
        </w:rPr>
        <w:t xml:space="preserve">. Não se aplica neste caso. </w:t>
      </w:r>
    </w:p>
    <w:p w14:paraId="5B102B96">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 xml:space="preserve">5.6. Da Vedação de Contratação de Marcas ou Produtos </w:t>
      </w:r>
    </w:p>
    <w:p w14:paraId="08E9E33C">
      <w:pPr>
        <w:pStyle w:val="304"/>
        <w:pageBreakBefore w:val="0"/>
        <w:widowControl/>
        <w:kinsoku/>
        <w:wordWrap/>
        <w:overflowPunct/>
        <w:topLinePunct w:val="0"/>
        <w:bidi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b/>
          <w:sz w:val="17"/>
          <w:szCs w:val="17"/>
        </w:rPr>
        <w:t xml:space="preserve">5.6.1. </w:t>
      </w:r>
      <w:r>
        <w:rPr>
          <w:rFonts w:hint="default" w:ascii="Arial" w:hAnsi="Arial" w:cs="Arial"/>
          <w:sz w:val="17"/>
          <w:szCs w:val="17"/>
        </w:rPr>
        <w:t xml:space="preserve"> Não se aplica neste caso. </w:t>
      </w:r>
    </w:p>
    <w:p w14:paraId="5B5765DC">
      <w:pPr>
        <w:pStyle w:val="304"/>
        <w:pageBreakBefore w:val="0"/>
        <w:widowControl/>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5.7. Da Amostra</w:t>
      </w:r>
    </w:p>
    <w:p w14:paraId="24DBCB26">
      <w:pPr>
        <w:pStyle w:val="278"/>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b w:val="0"/>
          <w:sz w:val="17"/>
          <w:szCs w:val="17"/>
        </w:rPr>
      </w:pPr>
      <w:r>
        <w:rPr>
          <w:rFonts w:hint="default" w:ascii="Arial" w:hAnsi="Arial" w:cs="Arial"/>
          <w:sz w:val="17"/>
          <w:szCs w:val="17"/>
        </w:rPr>
        <w:t>5.7.1.</w:t>
      </w:r>
      <w:r>
        <w:rPr>
          <w:rFonts w:hint="default" w:ascii="Arial" w:hAnsi="Arial" w:cs="Arial"/>
          <w:b w:val="0"/>
          <w:sz w:val="17"/>
          <w:szCs w:val="17"/>
        </w:rPr>
        <w:t xml:space="preserve"> Para esta aquisição não se faz necessária amostra dos itens que será utilizado.</w:t>
      </w:r>
    </w:p>
    <w:p w14:paraId="04D01987">
      <w:pPr>
        <w:rPr>
          <w:rFonts w:hint="default" w:ascii="Arial" w:hAnsi="Arial" w:cs="Arial"/>
          <w:sz w:val="17"/>
          <w:szCs w:val="17"/>
        </w:rPr>
      </w:pPr>
    </w:p>
    <w:p w14:paraId="2CBC4BD1">
      <w:pPr>
        <w:pageBreakBefore w:val="0"/>
        <w:widowControl/>
        <w:kinsoku/>
        <w:wordWrap/>
        <w:overflowPunct/>
        <w:topLinePunct w:val="0"/>
        <w:bidi w:val="0"/>
        <w:snapToGrid/>
        <w:ind w:left="0" w:leftChars="0" w:right="0" w:firstLine="7" w:firstLineChars="0"/>
        <w:rPr>
          <w:rFonts w:hint="default" w:ascii="Arial" w:hAnsi="Arial" w:cs="Arial"/>
          <w:b/>
          <w:sz w:val="17"/>
          <w:szCs w:val="17"/>
        </w:rPr>
      </w:pPr>
      <w:r>
        <w:rPr>
          <w:rFonts w:hint="default" w:ascii="Arial" w:hAnsi="Arial" w:cs="Arial"/>
          <w:b/>
          <w:sz w:val="17"/>
          <w:szCs w:val="17"/>
        </w:rPr>
        <w:t>6. MODELO DE EXECUÇÃO DO OBJETO</w:t>
      </w:r>
      <w:r>
        <w:rPr>
          <w:rFonts w:hint="default" w:ascii="Arial" w:hAnsi="Arial" w:cs="Arial"/>
          <w:b/>
          <w:sz w:val="17"/>
          <w:szCs w:val="17"/>
        </w:rPr>
        <w:tab/>
      </w:r>
    </w:p>
    <w:p w14:paraId="552C136F">
      <w:pPr>
        <w:pageBreakBefore w:val="0"/>
        <w:widowControl/>
        <w:kinsoku/>
        <w:wordWrap/>
        <w:overflowPunct/>
        <w:topLinePunct w:val="0"/>
        <w:bidi w:val="0"/>
        <w:snapToGrid/>
        <w:ind w:left="0" w:leftChars="0" w:right="0" w:firstLine="7" w:firstLineChars="0"/>
        <w:jc w:val="both"/>
        <w:rPr>
          <w:rFonts w:hint="default" w:ascii="Arial" w:hAnsi="Arial" w:cs="Arial"/>
          <w:sz w:val="17"/>
          <w:szCs w:val="17"/>
        </w:rPr>
      </w:pPr>
      <w:r>
        <w:rPr>
          <w:rFonts w:hint="default" w:ascii="Arial" w:hAnsi="Arial" w:cs="Arial"/>
          <w:b/>
          <w:sz w:val="17"/>
          <w:szCs w:val="17"/>
        </w:rPr>
        <w:t>6.1.</w:t>
      </w:r>
      <w:r>
        <w:rPr>
          <w:rFonts w:hint="default" w:ascii="Arial" w:hAnsi="Arial" w:cs="Arial"/>
          <w:sz w:val="17"/>
          <w:szCs w:val="17"/>
        </w:rPr>
        <w:t xml:space="preserve"> A contratação de empresa para prestação de serviços de locação de ambulâncias deverá atender aos seguintes requisitos:</w:t>
      </w:r>
    </w:p>
    <w:p w14:paraId="0E84E1D2">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a)</w:t>
      </w:r>
      <w:r>
        <w:rPr>
          <w:rFonts w:hint="default" w:ascii="Arial" w:hAnsi="Arial" w:cs="Arial"/>
          <w:sz w:val="17"/>
          <w:szCs w:val="17"/>
        </w:rPr>
        <w:t xml:space="preserve"> Condições dos Veículos: As ambulâncias devem estar em perfeito estado de conservação, incluindo mecânica, carroceria, acomodações para o paciente e profissionais, bem como os equipamentos de segurança e tráfego exigidos por lei.</w:t>
      </w:r>
    </w:p>
    <w:p w14:paraId="06B9933C">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b)</w:t>
      </w:r>
      <w:r>
        <w:rPr>
          <w:rFonts w:hint="default" w:ascii="Arial" w:hAnsi="Arial" w:cs="Arial"/>
          <w:sz w:val="17"/>
          <w:szCs w:val="17"/>
        </w:rPr>
        <w:t xml:space="preserve"> Regularização e Propriedade: Os veículos devem possuir toda a documentação regularizada e estar devidamente licenciados em nome da empresa contratada.</w:t>
      </w:r>
    </w:p>
    <w:p w14:paraId="6E9E2B1C">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c)</w:t>
      </w:r>
      <w:r>
        <w:rPr>
          <w:rFonts w:hint="default" w:ascii="Arial" w:hAnsi="Arial" w:cs="Arial"/>
          <w:sz w:val="17"/>
          <w:szCs w:val="17"/>
        </w:rPr>
        <w:t xml:space="preserve"> Conformidade com Normas Técnicas: As ambulâncias deverão estar em conformidade com as seguintes normas e regulamentações:</w:t>
      </w:r>
    </w:p>
    <w:p w14:paraId="050D1071">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 xml:space="preserve">ABNT NBR 14561/2000 (de julho de 2000); </w:t>
      </w:r>
    </w:p>
    <w:p w14:paraId="60065ADA">
      <w:pPr>
        <w:pStyle w:val="220"/>
        <w:pageBreakBefore w:val="0"/>
        <w:widowControl/>
        <w:numPr>
          <w:ilvl w:val="0"/>
          <w:numId w:val="23"/>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Portaria GM/MS nº 2048, de 05 de novembro de 2002.</w:t>
      </w:r>
    </w:p>
    <w:p w14:paraId="31A71556">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d)</w:t>
      </w:r>
      <w:r>
        <w:rPr>
          <w:rFonts w:hint="default" w:ascii="Arial" w:hAnsi="Arial" w:cs="Arial"/>
          <w:sz w:val="17"/>
          <w:szCs w:val="17"/>
        </w:rPr>
        <w:t xml:space="preserve"> Equipamentos Obrigatórios: Cada ambulância deverá estar equipada, no mínimo, com os seguintes itens:</w:t>
      </w:r>
    </w:p>
    <w:p w14:paraId="4B8C22C6">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Oxímetro de pulso (em caso de transporte neonatal/infantil);</w:t>
      </w:r>
    </w:p>
    <w:p w14:paraId="7F0833C2">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Monitor cardíaco e monitor de ECG contínuo;</w:t>
      </w:r>
    </w:p>
    <w:p w14:paraId="58FD1569">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Bomba de infusão;</w:t>
      </w:r>
    </w:p>
    <w:p w14:paraId="117A6823">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Desfibrilador;</w:t>
      </w:r>
    </w:p>
    <w:p w14:paraId="7B16DE23">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Glicosímetro;</w:t>
      </w:r>
    </w:p>
    <w:p w14:paraId="683B6A25">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Balão auto inflável (em diversos tamanhos);</w:t>
      </w:r>
    </w:p>
    <w:p w14:paraId="638AB079">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Respirador (em caso de transporte neonatal/infantil);</w:t>
      </w:r>
    </w:p>
    <w:p w14:paraId="1588FCD8">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Maca ou incubadora de transporte;</w:t>
      </w:r>
    </w:p>
    <w:p w14:paraId="3A173E9E">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Materiais de intubação;</w:t>
      </w:r>
      <w:r>
        <w:rPr>
          <w:rFonts w:hint="default" w:ascii="Arial" w:hAnsi="Arial" w:cs="Arial"/>
          <w:sz w:val="17"/>
          <w:szCs w:val="17"/>
        </w:rPr>
        <w:tab/>
      </w:r>
    </w:p>
    <w:p w14:paraId="57F1D8C1">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Aspirador;</w:t>
      </w:r>
    </w:p>
    <w:p w14:paraId="7C44272C">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Umidificador para oxigênio;</w:t>
      </w:r>
    </w:p>
    <w:p w14:paraId="3EC7A549">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Hood e CIPAP;</w:t>
      </w:r>
    </w:p>
    <w:p w14:paraId="2C22F5D5">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Mínimo de 3 cilindros grandes de oxigênio e 2 cilindros portáteis;</w:t>
      </w:r>
    </w:p>
    <w:p w14:paraId="4C38C5BF">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Cilindro de ar comprimido;</w:t>
      </w:r>
    </w:p>
    <w:p w14:paraId="75B2B42B">
      <w:pPr>
        <w:pStyle w:val="220"/>
        <w:pageBreakBefore w:val="0"/>
        <w:widowControl/>
        <w:numPr>
          <w:ilvl w:val="0"/>
          <w:numId w:val="24"/>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Rodoar.</w:t>
      </w:r>
    </w:p>
    <w:p w14:paraId="5B5FA8CF">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sz w:val="17"/>
          <w:szCs w:val="17"/>
        </w:rPr>
        <w:t>Materiais e medicamentos de emergência conforme a necessidade clínica do paciente.</w:t>
      </w:r>
    </w:p>
    <w:p w14:paraId="1AF26B52">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e)</w:t>
      </w:r>
      <w:r>
        <w:rPr>
          <w:rFonts w:hint="default" w:ascii="Arial" w:hAnsi="Arial" w:cs="Arial"/>
          <w:sz w:val="17"/>
          <w:szCs w:val="17"/>
        </w:rPr>
        <w:t xml:space="preserve"> Agendamento e Atendimento: Chamados para procedimentos eletivos deverão ser agendados com mínimo de 2 (duas) horas de antecedência. Chamados para procedimentos de urgência ou emergência deverão ser atendidos imediatamente ao agendamento, com prazo máximo de 2 (duas) horas a partir da comunicação.</w:t>
      </w:r>
    </w:p>
    <w:p w14:paraId="7AB7DC7E">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f) </w:t>
      </w:r>
      <w:r>
        <w:rPr>
          <w:rFonts w:hint="default" w:ascii="Arial" w:hAnsi="Arial" w:cs="Arial"/>
          <w:sz w:val="17"/>
          <w:szCs w:val="17"/>
        </w:rPr>
        <w:t>Execução dos Serviços: Os serviços serão prestados conforme os chamados previamente agendados pela Secretaria Municipal de Saúde, obedecendo às condições estabelecidas em edital.</w:t>
      </w:r>
    </w:p>
    <w:p w14:paraId="7E113D57">
      <w:pPr>
        <w:pageBreakBefore w:val="0"/>
        <w:widowControl/>
        <w:kinsoku/>
        <w:wordWrap/>
        <w:overflowPunct/>
        <w:topLinePunct w:val="0"/>
        <w:bidi w:val="0"/>
        <w:snapToGrid/>
        <w:spacing w:line="240" w:lineRule="auto"/>
        <w:ind w:left="0" w:leftChars="0" w:right="0" w:firstLine="7" w:firstLineChars="0"/>
        <w:jc w:val="both"/>
        <w:rPr>
          <w:rFonts w:hint="default" w:ascii="Arial" w:hAnsi="Arial" w:cs="Arial"/>
          <w:sz w:val="17"/>
          <w:szCs w:val="17"/>
        </w:rPr>
      </w:pPr>
      <w:r>
        <w:rPr>
          <w:rFonts w:hint="default" w:ascii="Arial" w:hAnsi="Arial" w:cs="Arial"/>
          <w:b/>
          <w:sz w:val="17"/>
          <w:szCs w:val="17"/>
        </w:rPr>
        <w:t>g)</w:t>
      </w:r>
      <w:r>
        <w:rPr>
          <w:rFonts w:hint="default" w:ascii="Arial" w:hAnsi="Arial" w:cs="Arial"/>
          <w:sz w:val="17"/>
          <w:szCs w:val="17"/>
        </w:rPr>
        <w:t xml:space="preserve"> Nota Fiscal e Documentação: A nota fiscal emitida deverá conter obrigatoriamente:</w:t>
      </w:r>
    </w:p>
    <w:p w14:paraId="30977738">
      <w:pPr>
        <w:pStyle w:val="220"/>
        <w:pageBreakBefore w:val="0"/>
        <w:widowControl/>
        <w:numPr>
          <w:ilvl w:val="0"/>
          <w:numId w:val="25"/>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Número da autorização de fornecimento;</w:t>
      </w:r>
    </w:p>
    <w:p w14:paraId="76C16EE4">
      <w:pPr>
        <w:pStyle w:val="220"/>
        <w:pageBreakBefore w:val="0"/>
        <w:widowControl/>
        <w:numPr>
          <w:ilvl w:val="0"/>
          <w:numId w:val="25"/>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Número do empenho;</w:t>
      </w:r>
    </w:p>
    <w:p w14:paraId="3A6C73EE">
      <w:pPr>
        <w:pStyle w:val="220"/>
        <w:pageBreakBefore w:val="0"/>
        <w:widowControl/>
        <w:numPr>
          <w:ilvl w:val="0"/>
          <w:numId w:val="25"/>
        </w:numPr>
        <w:kinsoku/>
        <w:wordWrap/>
        <w:overflowPunct/>
        <w:topLinePunct w:val="0"/>
        <w:bidi w:val="0"/>
        <w:snapToGrid/>
        <w:spacing w:line="240" w:lineRule="auto"/>
        <w:ind w:left="480" w:leftChars="200" w:right="0" w:firstLine="7" w:firstLineChars="0"/>
        <w:jc w:val="both"/>
        <w:rPr>
          <w:rFonts w:hint="default" w:ascii="Arial" w:hAnsi="Arial" w:cs="Arial"/>
          <w:sz w:val="17"/>
          <w:szCs w:val="17"/>
        </w:rPr>
      </w:pPr>
      <w:r>
        <w:rPr>
          <w:rFonts w:hint="default" w:ascii="Arial" w:hAnsi="Arial" w:cs="Arial"/>
          <w:sz w:val="17"/>
          <w:szCs w:val="17"/>
        </w:rPr>
        <w:t>Relação detalhada dos serviços executados.</w:t>
      </w:r>
    </w:p>
    <w:p w14:paraId="0A43162B">
      <w:pPr>
        <w:pageBreakBefore w:val="0"/>
        <w:widowControl/>
        <w:kinsoku/>
        <w:wordWrap/>
        <w:overflowPunct/>
        <w:topLinePunct w:val="0"/>
        <w:bidi w:val="0"/>
        <w:snapToGrid/>
        <w:ind w:left="0" w:leftChars="0" w:right="0" w:firstLine="7" w:firstLineChars="0"/>
        <w:jc w:val="both"/>
        <w:rPr>
          <w:rFonts w:hint="default" w:ascii="Arial" w:hAnsi="Arial" w:cs="Arial"/>
          <w:color w:val="000000"/>
          <w:sz w:val="17"/>
          <w:szCs w:val="17"/>
        </w:rPr>
      </w:pPr>
      <w:r>
        <w:rPr>
          <w:rFonts w:hint="default" w:ascii="Arial" w:hAnsi="Arial" w:cs="Arial"/>
          <w:b/>
          <w:iCs/>
          <w:sz w:val="17"/>
          <w:szCs w:val="17"/>
        </w:rPr>
        <w:t>6.2.</w:t>
      </w:r>
      <w:r>
        <w:rPr>
          <w:rFonts w:hint="default" w:ascii="Arial" w:hAnsi="Arial" w:cs="Arial"/>
          <w:iCs/>
          <w:sz w:val="17"/>
          <w:szCs w:val="17"/>
        </w:rPr>
        <w:t xml:space="preserve"> A contratada deverá u</w:t>
      </w:r>
      <w:r>
        <w:rPr>
          <w:rFonts w:hint="default" w:ascii="Arial" w:hAnsi="Arial" w:cs="Arial"/>
          <w:color w:val="000000"/>
          <w:sz w:val="17"/>
          <w:szCs w:val="17"/>
        </w:rPr>
        <w:t xml:space="preserve">tilizar na prestação de serviços, veículos, com ano de fabricação não inferior a </w:t>
      </w:r>
      <w:r>
        <w:rPr>
          <w:rFonts w:hint="default" w:ascii="Arial" w:hAnsi="Arial" w:cs="Arial"/>
          <w:sz w:val="17"/>
          <w:szCs w:val="17"/>
        </w:rPr>
        <w:t>2015</w:t>
      </w:r>
      <w:r>
        <w:rPr>
          <w:rFonts w:hint="default" w:ascii="Arial" w:hAnsi="Arial" w:cs="Arial"/>
          <w:color w:val="000000"/>
          <w:sz w:val="17"/>
          <w:szCs w:val="17"/>
        </w:rPr>
        <w:t xml:space="preserve"> e que atenda as especificações do Código de Trânsito Brasileiro.</w:t>
      </w:r>
    </w:p>
    <w:p w14:paraId="127A0698">
      <w:pPr>
        <w:pageBreakBefore w:val="0"/>
        <w:widowControl/>
        <w:kinsoku/>
        <w:wordWrap/>
        <w:overflowPunct/>
        <w:topLinePunct w:val="0"/>
        <w:bidi w:val="0"/>
        <w:snapToGrid/>
        <w:ind w:left="0" w:leftChars="0" w:right="0" w:firstLine="7" w:firstLineChars="0"/>
        <w:jc w:val="both"/>
        <w:rPr>
          <w:rFonts w:hint="default" w:ascii="Arial" w:hAnsi="Arial" w:cs="Arial"/>
          <w:b/>
          <w:sz w:val="17"/>
          <w:szCs w:val="17"/>
        </w:rPr>
      </w:pPr>
      <w:r>
        <w:rPr>
          <w:rFonts w:hint="default" w:ascii="Arial" w:hAnsi="Arial" w:cs="Arial"/>
          <w:b/>
          <w:iCs/>
          <w:sz w:val="17"/>
          <w:szCs w:val="17"/>
        </w:rPr>
        <w:t>6.3.</w:t>
      </w:r>
      <w:r>
        <w:rPr>
          <w:rFonts w:hint="default" w:ascii="Arial" w:hAnsi="Arial" w:cs="Arial"/>
          <w:color w:val="000000"/>
          <w:sz w:val="17"/>
          <w:szCs w:val="17"/>
        </w:rPr>
        <w:t xml:space="preserve"> </w:t>
      </w:r>
      <w:r>
        <w:rPr>
          <w:rFonts w:hint="default" w:ascii="Arial" w:hAnsi="Arial" w:cs="Arial"/>
          <w:sz w:val="17"/>
          <w:szCs w:val="17"/>
        </w:rPr>
        <w:t>Apresentar ao responsável, em até 05 (cinco) dias, contados da data da solicitação, a Licença de Funcionamento da empresa junto a Vigilância Sanitária. Caso seja adjudicado/ homologado o objeto da licitação a seu favor, a licitante, antes da assinatura do contrato, no prazo de 15 (quinze) dias úteis, a contar da data da homologação/adjudicação, apresentará os seguintes documentos:</w:t>
      </w:r>
      <w:r>
        <w:rPr>
          <w:rFonts w:hint="default" w:ascii="Arial" w:hAnsi="Arial" w:cs="Arial"/>
          <w:b/>
          <w:sz w:val="17"/>
          <w:szCs w:val="17"/>
        </w:rPr>
        <w:t xml:space="preserve"> </w:t>
      </w:r>
    </w:p>
    <w:p w14:paraId="1D50BB95">
      <w:pPr>
        <w:pageBreakBefore w:val="0"/>
        <w:widowControl/>
        <w:kinsoku/>
        <w:wordWrap/>
        <w:overflowPunct/>
        <w:topLinePunct w:val="0"/>
        <w:bidi w:val="0"/>
        <w:snapToGrid/>
        <w:ind w:left="0" w:leftChars="0" w:right="0" w:firstLine="7" w:firstLineChars="0"/>
        <w:jc w:val="both"/>
        <w:rPr>
          <w:rFonts w:hint="default" w:ascii="Arial" w:hAnsi="Arial" w:cs="Arial"/>
          <w:b/>
          <w:sz w:val="17"/>
          <w:szCs w:val="17"/>
        </w:rPr>
      </w:pPr>
      <w:r>
        <w:rPr>
          <w:rFonts w:hint="default" w:ascii="Arial" w:hAnsi="Arial" w:cs="Arial"/>
          <w:b/>
          <w:sz w:val="17"/>
          <w:szCs w:val="17"/>
        </w:rPr>
        <w:t>a)</w:t>
      </w:r>
      <w:r>
        <w:rPr>
          <w:rFonts w:hint="default" w:ascii="Arial" w:hAnsi="Arial" w:cs="Arial"/>
          <w:sz w:val="17"/>
          <w:szCs w:val="17"/>
        </w:rPr>
        <w:t xml:space="preserve"> Cópia do CRLV - Certificado de Registro e Licenciamento de Veículo para a comprovação do ano de fabricação, propriedade, posse ou a locação dos veículos a serem utilizados nos serviços.</w:t>
      </w:r>
    </w:p>
    <w:p w14:paraId="1DDCD920">
      <w:pPr>
        <w:pageBreakBefore w:val="0"/>
        <w:widowControl/>
        <w:kinsoku/>
        <w:wordWrap/>
        <w:overflowPunct/>
        <w:topLinePunct w:val="0"/>
        <w:bidi w:val="0"/>
        <w:snapToGrid/>
        <w:ind w:left="0" w:leftChars="0" w:right="0" w:firstLine="7" w:firstLineChars="0"/>
        <w:jc w:val="both"/>
        <w:rPr>
          <w:rFonts w:hint="default" w:ascii="Arial" w:hAnsi="Arial" w:cs="Arial"/>
          <w:b/>
          <w:sz w:val="17"/>
          <w:szCs w:val="17"/>
        </w:rPr>
      </w:pPr>
      <w:r>
        <w:rPr>
          <w:rFonts w:hint="default" w:ascii="Arial" w:hAnsi="Arial" w:cs="Arial"/>
          <w:b/>
          <w:sz w:val="17"/>
          <w:szCs w:val="17"/>
        </w:rPr>
        <w:t>b)</w:t>
      </w:r>
      <w:r>
        <w:rPr>
          <w:rFonts w:hint="default" w:ascii="Arial" w:hAnsi="Arial" w:cs="Arial"/>
          <w:sz w:val="17"/>
          <w:szCs w:val="17"/>
        </w:rPr>
        <w:t xml:space="preserve"> Cópia da apólice de seguro, demonstrado que os veículos a serem utilizados nos serviços, estão segurados contra acidentes pessoais e terceiros, por evento.</w:t>
      </w:r>
    </w:p>
    <w:p w14:paraId="710B0110">
      <w:pPr>
        <w:pageBreakBefore w:val="0"/>
        <w:widowControl/>
        <w:kinsoku/>
        <w:wordWrap/>
        <w:overflowPunct/>
        <w:topLinePunct w:val="0"/>
        <w:bidi w:val="0"/>
        <w:snapToGrid/>
        <w:ind w:left="0" w:leftChars="0" w:right="0" w:firstLine="7" w:firstLineChars="0"/>
        <w:jc w:val="both"/>
        <w:rPr>
          <w:rFonts w:hint="default" w:ascii="Arial" w:hAnsi="Arial" w:cs="Arial"/>
          <w:sz w:val="17"/>
          <w:szCs w:val="17"/>
        </w:rPr>
      </w:pPr>
      <w:r>
        <w:rPr>
          <w:rFonts w:hint="default" w:ascii="Arial" w:hAnsi="Arial" w:cs="Arial"/>
          <w:b/>
          <w:sz w:val="17"/>
          <w:szCs w:val="17"/>
        </w:rPr>
        <w:t>c)</w:t>
      </w:r>
      <w:r>
        <w:rPr>
          <w:rFonts w:hint="default" w:ascii="Arial" w:hAnsi="Arial" w:cs="Arial"/>
          <w:sz w:val="17"/>
          <w:szCs w:val="17"/>
        </w:rPr>
        <w:t xml:space="preserve"> Utilizar, na prestação dos serviços, veículos com equipamentos médicos para a respectiva função, estando os mesmos em conformidade com a legislação pertinente.</w:t>
      </w:r>
    </w:p>
    <w:p w14:paraId="6A20EDD7">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color w:val="auto"/>
          <w:sz w:val="17"/>
          <w:szCs w:val="17"/>
        </w:rPr>
      </w:pPr>
      <w:r>
        <w:rPr>
          <w:rFonts w:hint="default" w:ascii="Arial" w:hAnsi="Arial" w:cs="Arial"/>
          <w:b/>
          <w:sz w:val="17"/>
          <w:szCs w:val="17"/>
        </w:rPr>
        <w:t xml:space="preserve">d) </w:t>
      </w:r>
      <w:r>
        <w:rPr>
          <w:rFonts w:hint="default" w:ascii="Arial" w:hAnsi="Arial" w:cs="Arial"/>
          <w:b/>
          <w:color w:val="auto"/>
          <w:sz w:val="17"/>
          <w:szCs w:val="17"/>
        </w:rPr>
        <w:t>Responsável</w:t>
      </w:r>
    </w:p>
    <w:p w14:paraId="4BE9F394">
      <w:pPr>
        <w:pStyle w:val="220"/>
        <w:pageBreakBefore w:val="0"/>
        <w:widowControl/>
        <w:numPr>
          <w:ilvl w:val="0"/>
          <w:numId w:val="26"/>
        </w:numPr>
        <w:kinsoku/>
        <w:wordWrap/>
        <w:overflowPunct/>
        <w:topLinePunct w:val="0"/>
        <w:bidi w:val="0"/>
        <w:snapToGrid/>
        <w:ind w:left="0" w:leftChars="0" w:right="0" w:firstLine="7" w:firstLineChars="0"/>
        <w:rPr>
          <w:rFonts w:hint="default" w:ascii="Arial" w:hAnsi="Arial" w:cs="Arial"/>
          <w:sz w:val="17"/>
          <w:szCs w:val="17"/>
          <w:lang w:eastAsia="pt-BR"/>
        </w:rPr>
      </w:pPr>
      <w:r>
        <w:rPr>
          <w:rFonts w:hint="default" w:ascii="Arial" w:hAnsi="Arial" w:cs="Arial"/>
          <w:sz w:val="17"/>
          <w:szCs w:val="17"/>
          <w:lang w:eastAsia="pt-BR"/>
        </w:rPr>
        <w:t>Simonne de Sousa Montes</w:t>
      </w:r>
    </w:p>
    <w:p w14:paraId="66A2CBB5">
      <w:pPr>
        <w:pageBreakBefore w:val="0"/>
        <w:widowControl/>
        <w:kinsoku/>
        <w:wordWrap/>
        <w:overflowPunct/>
        <w:topLinePunct w:val="0"/>
        <w:bidi w:val="0"/>
        <w:snapToGrid/>
        <w:ind w:left="0" w:leftChars="0" w:right="0" w:firstLine="7" w:firstLineChars="0"/>
        <w:rPr>
          <w:rFonts w:hint="default" w:ascii="Arial" w:hAnsi="Arial" w:cs="Arial"/>
          <w:color w:val="222222"/>
          <w:sz w:val="17"/>
          <w:szCs w:val="17"/>
          <w:shd w:val="clear" w:color="auto" w:fill="FFFFFF"/>
        </w:rPr>
      </w:pPr>
      <w:r>
        <w:rPr>
          <w:rFonts w:hint="default" w:ascii="Arial" w:hAnsi="Arial" w:cs="Arial"/>
          <w:sz w:val="17"/>
          <w:szCs w:val="17"/>
          <w:lang w:eastAsia="pt-BR"/>
        </w:rPr>
        <w:t xml:space="preserve">E-mail: </w:t>
      </w:r>
      <w:r>
        <w:rPr>
          <w:rFonts w:hint="default" w:ascii="Arial" w:hAnsi="Arial" w:cs="Arial"/>
          <w:sz w:val="17"/>
          <w:szCs w:val="17"/>
        </w:rPr>
        <w:fldChar w:fldCharType="begin"/>
      </w:r>
      <w:r>
        <w:rPr>
          <w:rFonts w:hint="default" w:ascii="Arial" w:hAnsi="Arial" w:cs="Arial"/>
          <w:sz w:val="17"/>
          <w:szCs w:val="17"/>
        </w:rPr>
        <w:instrText xml:space="preserve"> HYPERLINK "mailto:licitacaosaudecataguases@gmail.com" </w:instrText>
      </w:r>
      <w:r>
        <w:rPr>
          <w:rFonts w:hint="default" w:ascii="Arial" w:hAnsi="Arial" w:cs="Arial"/>
          <w:sz w:val="17"/>
          <w:szCs w:val="17"/>
        </w:rPr>
        <w:fldChar w:fldCharType="separate"/>
      </w:r>
      <w:r>
        <w:rPr>
          <w:rStyle w:val="11"/>
          <w:rFonts w:hint="default" w:ascii="Arial" w:hAnsi="Arial" w:cs="Arial"/>
          <w:sz w:val="17"/>
          <w:szCs w:val="17"/>
          <w:shd w:val="clear" w:color="auto" w:fill="FFFFFF"/>
        </w:rPr>
        <w:t>licitacaosaudecataguases@gmail.com</w:t>
      </w:r>
      <w:r>
        <w:rPr>
          <w:rStyle w:val="11"/>
          <w:rFonts w:hint="default" w:ascii="Arial" w:hAnsi="Arial" w:cs="Arial"/>
          <w:sz w:val="17"/>
          <w:szCs w:val="17"/>
          <w:shd w:val="clear" w:color="auto" w:fill="FFFFFF"/>
        </w:rPr>
        <w:fldChar w:fldCharType="end"/>
      </w:r>
    </w:p>
    <w:p w14:paraId="425C7D8A">
      <w:pPr>
        <w:pageBreakBefore w:val="0"/>
        <w:widowControl/>
        <w:kinsoku/>
        <w:wordWrap/>
        <w:overflowPunct/>
        <w:topLinePunct w:val="0"/>
        <w:bidi w:val="0"/>
        <w:snapToGrid/>
        <w:ind w:left="0" w:leftChars="0" w:right="0" w:firstLine="7" w:firstLineChars="0"/>
        <w:rPr>
          <w:rFonts w:hint="default" w:ascii="Arial" w:hAnsi="Arial" w:cs="Arial"/>
          <w:sz w:val="17"/>
          <w:szCs w:val="17"/>
          <w:shd w:val="clear" w:color="auto" w:fill="FFFFFF"/>
        </w:rPr>
      </w:pPr>
      <w:r>
        <w:rPr>
          <w:rFonts w:hint="default" w:ascii="Arial" w:hAnsi="Arial" w:cs="Arial"/>
          <w:sz w:val="17"/>
          <w:szCs w:val="17"/>
          <w:shd w:val="clear" w:color="auto" w:fill="FFFFFF"/>
        </w:rPr>
        <w:t>Tefefone: 32-3429-2600 ramal: 202</w:t>
      </w:r>
    </w:p>
    <w:p w14:paraId="3DD548EF">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6.4.</w:t>
      </w:r>
      <w:r>
        <w:rPr>
          <w:rFonts w:hint="default" w:ascii="Arial" w:hAnsi="Arial" w:cs="Arial"/>
          <w:sz w:val="17"/>
          <w:szCs w:val="17"/>
        </w:rPr>
        <w:t xml:space="preserve"> Manter em funcionamento sua Central de Atendimento durante 24 (vinte e quatro) horas por dia, inclusive sábados, domingos e feriados, ambulâncias e os profissionais necessários para atender aos chamados do contratante.</w:t>
      </w:r>
      <w:r>
        <w:rPr>
          <w:rFonts w:hint="default" w:ascii="Arial" w:hAnsi="Arial" w:cs="Arial"/>
          <w:b/>
          <w:sz w:val="17"/>
          <w:szCs w:val="17"/>
        </w:rPr>
        <w:t xml:space="preserve"> </w:t>
      </w:r>
    </w:p>
    <w:p w14:paraId="0DCAC3E7">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b/>
          <w:sz w:val="17"/>
          <w:szCs w:val="17"/>
        </w:rPr>
      </w:pPr>
      <w:r>
        <w:rPr>
          <w:rFonts w:hint="default" w:ascii="Arial" w:hAnsi="Arial" w:cs="Arial"/>
          <w:b/>
          <w:sz w:val="17"/>
          <w:szCs w:val="17"/>
        </w:rPr>
        <w:t>6.5.</w:t>
      </w:r>
      <w:r>
        <w:rPr>
          <w:rFonts w:hint="default" w:ascii="Arial" w:hAnsi="Arial" w:cs="Arial"/>
          <w:sz w:val="17"/>
          <w:szCs w:val="17"/>
        </w:rPr>
        <w:t xml:space="preserve"> A quilometragem deverá ser contada a partir do local determinado pela Secretaria de Municipal de Saúde de Cataguases – MG.</w:t>
      </w:r>
      <w:r>
        <w:rPr>
          <w:rFonts w:hint="default" w:ascii="Arial" w:hAnsi="Arial" w:cs="Arial"/>
          <w:b/>
          <w:sz w:val="17"/>
          <w:szCs w:val="17"/>
        </w:rPr>
        <w:t xml:space="preserve"> </w:t>
      </w:r>
    </w:p>
    <w:p w14:paraId="75C0DB5B">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6.6.</w:t>
      </w:r>
      <w:r>
        <w:rPr>
          <w:rFonts w:hint="default" w:ascii="Arial" w:hAnsi="Arial" w:cs="Arial"/>
          <w:sz w:val="17"/>
          <w:szCs w:val="17"/>
        </w:rPr>
        <w:t xml:space="preserve"> A contratada deverá executar o serviço dentro dos padrões de qualidade e segurança e obedecer às normas estipuladas na Portaria n° 2048, de 05 de novembro de 2002, que dispõe sobre a regulamentação do atendimento inter-hospitalar.</w:t>
      </w:r>
    </w:p>
    <w:p w14:paraId="4EE52284">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6.7. </w:t>
      </w:r>
      <w:r>
        <w:rPr>
          <w:rFonts w:hint="default" w:ascii="Arial" w:hAnsi="Arial" w:cs="Arial"/>
          <w:sz w:val="17"/>
          <w:szCs w:val="17"/>
        </w:rPr>
        <w:t>Realizar a desinfecção da ambulância antes de sua utilização e sempre que necessário, de acordo com o que estabelece a Portaria n° 930/1992 do Ministério da Saúde e demais normas.</w:t>
      </w:r>
    </w:p>
    <w:p w14:paraId="3DC88C18">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6.8. </w:t>
      </w:r>
      <w:r>
        <w:rPr>
          <w:rFonts w:hint="default" w:ascii="Arial" w:hAnsi="Arial" w:cs="Arial"/>
          <w:sz w:val="17"/>
          <w:szCs w:val="17"/>
        </w:rPr>
        <w:t>Apresentar, sempre que solicitado, a documentação comprobatória referente à manutenção preventiva e corretiva das ambulâncias, inclusive dos equipamentos que a integram.</w:t>
      </w:r>
    </w:p>
    <w:p w14:paraId="6CDFD213">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6.9. </w:t>
      </w:r>
      <w:r>
        <w:rPr>
          <w:rFonts w:hint="default" w:ascii="Arial" w:hAnsi="Arial" w:cs="Arial"/>
          <w:sz w:val="17"/>
          <w:szCs w:val="17"/>
        </w:rPr>
        <w:t>Exigir dos profissionais Médicos e Enfermeiros designados para executar os serviços objeto da contratação o registro nos Conselhos. O Motorista deverá possuir a necessária Carteira de Habilitação para dirigir a ambulância.</w:t>
      </w:r>
    </w:p>
    <w:p w14:paraId="0868015E">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6.10. </w:t>
      </w:r>
      <w:r>
        <w:rPr>
          <w:rFonts w:hint="default" w:ascii="Arial" w:hAnsi="Arial" w:cs="Arial"/>
          <w:sz w:val="17"/>
          <w:szCs w:val="17"/>
        </w:rPr>
        <w:t>É da exclusiva responsabilidade da contratada o acompanhamento quanto ao cumprimento da obrigação prevista neste item.</w:t>
      </w:r>
    </w:p>
    <w:p w14:paraId="52762979">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 xml:space="preserve">6.11. </w:t>
      </w:r>
      <w:r>
        <w:rPr>
          <w:rFonts w:hint="default" w:ascii="Arial" w:hAnsi="Arial" w:cs="Arial"/>
          <w:sz w:val="17"/>
          <w:szCs w:val="17"/>
        </w:rPr>
        <w:t>Providenciar a substituição, da ambulância no caso de apresentar defeito que prejudique a prestação do serviço.</w:t>
      </w:r>
    </w:p>
    <w:p w14:paraId="1AB62AEB">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6.12.</w:t>
      </w:r>
      <w:r>
        <w:rPr>
          <w:rFonts w:hint="default" w:ascii="Arial" w:hAnsi="Arial" w:cs="Arial"/>
          <w:sz w:val="17"/>
          <w:szCs w:val="17"/>
        </w:rPr>
        <w:t xml:space="preserve"> Responsabilizar pela disponibilização dos profissionais e equipamentos descritos neste termo de referência.</w:t>
      </w:r>
    </w:p>
    <w:p w14:paraId="0A3E2163">
      <w:pPr>
        <w:pStyle w:val="306"/>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6.13.</w:t>
      </w:r>
      <w:r>
        <w:rPr>
          <w:rFonts w:hint="default" w:ascii="Arial" w:hAnsi="Arial" w:cs="Arial"/>
          <w:sz w:val="17"/>
          <w:szCs w:val="17"/>
        </w:rPr>
        <w:t xml:space="preserve"> Responsabilizar pelo pagamento das despesas de salários e encargos trabalhistas destes profissionais, bem como pelo pagamento de despesas relativas à manutenção, consertos, reparos, combustível, higienização e desinfecção da ambulância e aquisições de matérias e equipamentos necessários à prestação dos serviços objeto da contratação.</w:t>
      </w:r>
      <w:r>
        <w:rPr>
          <w:rFonts w:hint="default" w:ascii="Arial" w:hAnsi="Arial" w:cs="Arial"/>
          <w:b/>
          <w:sz w:val="17"/>
          <w:szCs w:val="17"/>
        </w:rPr>
        <w:t xml:space="preserve"> </w:t>
      </w:r>
    </w:p>
    <w:p w14:paraId="172D0CAC">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6.14.</w:t>
      </w:r>
      <w:r>
        <w:rPr>
          <w:rFonts w:hint="default" w:ascii="Arial" w:hAnsi="Arial" w:cs="Arial"/>
          <w:sz w:val="17"/>
          <w:szCs w:val="17"/>
        </w:rPr>
        <w:t xml:space="preserve"> Em caso de desacordo com as especificações exigidas e proposta apresentada e se a qualidade dos serviços executados não corresponderem às especificações exigidas não será aceito, exceto as situações oficialmente justificada e aceitas pelo responsável da Secretaria Municipal de Saúde, desde que não signifique prejuízos de espécie alguma ao Município.</w:t>
      </w:r>
    </w:p>
    <w:p w14:paraId="45FA7BC5">
      <w:pPr>
        <w:pageBreakBefore w:val="0"/>
        <w:widowControl/>
        <w:kinsoku/>
        <w:wordWrap/>
        <w:overflowPunct/>
        <w:topLinePunct w:val="0"/>
        <w:bidi w:val="0"/>
        <w:snapToGrid/>
        <w:ind w:left="0" w:leftChars="0" w:right="0" w:firstLine="7" w:firstLineChars="0"/>
        <w:jc w:val="both"/>
        <w:rPr>
          <w:rFonts w:hint="default" w:ascii="Arial" w:hAnsi="Arial" w:cs="Arial"/>
          <w:sz w:val="17"/>
          <w:szCs w:val="17"/>
        </w:rPr>
      </w:pPr>
      <w:r>
        <w:rPr>
          <w:rFonts w:hint="default" w:ascii="Arial" w:hAnsi="Arial" w:cs="Arial"/>
          <w:b/>
          <w:sz w:val="17"/>
          <w:szCs w:val="17"/>
        </w:rPr>
        <w:t>6.15.</w:t>
      </w:r>
      <w:r>
        <w:rPr>
          <w:rFonts w:hint="default" w:ascii="Arial" w:hAnsi="Arial" w:cs="Arial"/>
          <w:sz w:val="17"/>
          <w:szCs w:val="17"/>
        </w:rPr>
        <w:t xml:space="preserve"> Correrão por conta da contratada todas as despesas de seguros, transporte, carga, tributos, além de possíveis encargos trabalhistas e previdenciários, decorrentes da contratação, objeto deste.</w:t>
      </w:r>
    </w:p>
    <w:p w14:paraId="180BE7B7">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6.16.</w:t>
      </w:r>
      <w:r>
        <w:rPr>
          <w:rFonts w:hint="default" w:ascii="Arial" w:hAnsi="Arial" w:cs="Arial"/>
          <w:sz w:val="17"/>
          <w:szCs w:val="17"/>
        </w:rPr>
        <w:t xml:space="preserve"> Caso não seja possível a execução na data assinalada, a empresa deverá comunicar as razões respectivas, assim que o agendamento for realizado, para que qualquer pleito de prorrogação de prazo seja analisado. </w:t>
      </w:r>
    </w:p>
    <w:p w14:paraId="3D46485B">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6.17.</w:t>
      </w:r>
      <w:r>
        <w:rPr>
          <w:rFonts w:hint="default" w:ascii="Arial" w:hAnsi="Arial" w:cs="Arial"/>
          <w:sz w:val="17"/>
          <w:szCs w:val="17"/>
        </w:rPr>
        <w:t xml:space="preserve"> As detentoras do presente Ata serão obrigadas a atender ao pedido num todo.</w:t>
      </w:r>
    </w:p>
    <w:p w14:paraId="58E8591F">
      <w:pPr>
        <w:pageBreakBefore w:val="0"/>
        <w:widowControl/>
        <w:tabs>
          <w:tab w:val="left" w:pos="426"/>
        </w:tabs>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6.18. </w:t>
      </w:r>
      <w:r>
        <w:rPr>
          <w:rFonts w:hint="default" w:ascii="Arial" w:hAnsi="Arial" w:eastAsia="Times New Roman" w:cs="Arial"/>
          <w:color w:val="000000"/>
          <w:sz w:val="17"/>
          <w:szCs w:val="17"/>
        </w:rPr>
        <w:t xml:space="preserve"> O(s) serviços(s) será(ão) rigorosamente avaliado(s) no ato da execução nos quesitos qualidade, caso o(s) serviço(s) esteja(m) em desacordo ao que foi licitado, as notas não serão assinadas.</w:t>
      </w:r>
    </w:p>
    <w:p w14:paraId="77BF7372">
      <w:pPr>
        <w:pageBreakBefore w:val="0"/>
        <w:widowControl/>
        <w:tabs>
          <w:tab w:val="left" w:pos="567"/>
        </w:tabs>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u w:val="single"/>
        </w:rPr>
      </w:pPr>
      <w:r>
        <w:rPr>
          <w:rFonts w:hint="default" w:ascii="Arial" w:hAnsi="Arial" w:cs="Arial"/>
          <w:b/>
          <w:color w:val="000000"/>
          <w:sz w:val="17"/>
          <w:szCs w:val="17"/>
          <w:shd w:val="clear" w:color="auto" w:fill="FFFFFF"/>
        </w:rPr>
        <w:t xml:space="preserve">6.19. </w:t>
      </w:r>
      <w:r>
        <w:rPr>
          <w:rFonts w:hint="default" w:ascii="Arial" w:hAnsi="Arial" w:eastAsia="Times New Roman" w:cs="Arial"/>
          <w:color w:val="000000"/>
          <w:sz w:val="17"/>
          <w:szCs w:val="17"/>
        </w:rPr>
        <w:t>As notas fiscais deverão ser assinadas pelo funcionário responsável pelo recebimento.</w:t>
      </w:r>
    </w:p>
    <w:p w14:paraId="2FF706D6">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6.20.</w:t>
      </w:r>
      <w:r>
        <w:rPr>
          <w:rFonts w:hint="default" w:ascii="Arial" w:hAnsi="Arial" w:eastAsia="Times New Roman" w:cs="Arial"/>
          <w:color w:val="000000"/>
          <w:sz w:val="17"/>
          <w:szCs w:val="17"/>
        </w:rPr>
        <w:t xml:space="preserve"> Os serviços poderão ser rejeitados, no todo ou em parte, quando em desacordo com as especificações constantes neste Termo de Referência e na proposta, podendo sofrer penalidades.</w:t>
      </w:r>
    </w:p>
    <w:p w14:paraId="11D7283E">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6.21.</w:t>
      </w:r>
      <w:r>
        <w:rPr>
          <w:rFonts w:hint="default" w:ascii="Arial" w:hAnsi="Arial" w:cs="Arial"/>
          <w:color w:val="000000" w:themeColor="text1"/>
          <w:sz w:val="17"/>
          <w:szCs w:val="17"/>
          <w14:textFill>
            <w14:solidFill>
              <w14:schemeClr w14:val="tx1"/>
            </w14:solidFill>
          </w14:textFill>
        </w:rPr>
        <w:t xml:space="preserve"> Os endereços e locais para execução dos serviços poderão sofrer alterações conforme determinação da contratante.</w:t>
      </w:r>
    </w:p>
    <w:p w14:paraId="4A0DD527">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6.22. </w:t>
      </w:r>
      <w:r>
        <w:rPr>
          <w:rFonts w:hint="default" w:ascii="Arial" w:hAnsi="Arial" w:eastAsia="Times New Roman" w:cs="Arial"/>
          <w:sz w:val="17"/>
          <w:szCs w:val="17"/>
        </w:rPr>
        <w:t>Os locais de execução serão informados no ato do envio das Solicitações de Fornecimento (e-mail direcionado ao fornecedor) ou descrito nas mesmas.</w:t>
      </w:r>
    </w:p>
    <w:p w14:paraId="0F692266">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p>
    <w:p w14:paraId="00FB6F0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p>
    <w:p w14:paraId="4D02D76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MODELO DE GESTÃO DO CONTRATO</w:t>
      </w:r>
    </w:p>
    <w:p w14:paraId="32A1A987">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4EE0F0B9">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color w:val="000000"/>
          <w:sz w:val="17"/>
          <w:szCs w:val="17"/>
        </w:rPr>
      </w:pPr>
      <w:r>
        <w:rPr>
          <w:rFonts w:hint="default" w:ascii="Arial" w:hAnsi="Arial" w:cs="Arial"/>
          <w:b/>
          <w:sz w:val="17"/>
          <w:szCs w:val="17"/>
        </w:rPr>
        <w:t xml:space="preserve">7.1.1. </w:t>
      </w:r>
      <w:r>
        <w:rPr>
          <w:rFonts w:hint="default" w:ascii="Arial" w:hAnsi="Arial" w:cs="Arial"/>
          <w:sz w:val="17"/>
          <w:szCs w:val="17"/>
        </w:rPr>
        <w:t xml:space="preserve">A CONTRATADA deverá executar o serviço, no local indicado, no </w:t>
      </w:r>
      <w:r>
        <w:rPr>
          <w:rFonts w:hint="default" w:ascii="Arial" w:hAnsi="Arial" w:cs="Arial"/>
          <w:color w:val="000000"/>
          <w:sz w:val="17"/>
          <w:szCs w:val="17"/>
        </w:rPr>
        <w:t xml:space="preserve">máximo de 02 (duas) horas corridos após o envio da Solicitação de Fornecimento. </w:t>
      </w:r>
    </w:p>
    <w:p w14:paraId="6DD617A7">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7.1.2.</w:t>
      </w:r>
      <w:r>
        <w:rPr>
          <w:rFonts w:hint="default" w:ascii="Arial" w:hAnsi="Arial" w:cs="Arial"/>
          <w:sz w:val="17"/>
          <w:szCs w:val="17"/>
        </w:rPr>
        <w:t xml:space="preserve"> A CONTRATADA deverá executar os serviços respeitando os quantitativos, descrições e local contidos no e-mail, enviada previamente.</w:t>
      </w:r>
    </w:p>
    <w:p w14:paraId="5F37211E">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7.1.3.</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serviço inadequado. </w:t>
      </w:r>
    </w:p>
    <w:p w14:paraId="7A23F074">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7.1.4.</w:t>
      </w:r>
      <w:r>
        <w:rPr>
          <w:rFonts w:hint="default" w:ascii="Arial" w:hAnsi="Arial" w:cs="Arial"/>
          <w:sz w:val="17"/>
          <w:szCs w:val="17"/>
        </w:rPr>
        <w:t xml:space="preserve"> A contratada deverá arcar com todos os ônus referentes a transportes e fretes necessários a execução do objeto. </w:t>
      </w:r>
    </w:p>
    <w:p w14:paraId="2664A89C">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7.1.5.</w:t>
      </w:r>
      <w:r>
        <w:rPr>
          <w:rFonts w:hint="default" w:ascii="Arial" w:hAnsi="Arial" w:cs="Arial"/>
          <w:sz w:val="17"/>
          <w:szCs w:val="17"/>
        </w:rPr>
        <w:t xml:space="preserve"> A contratada deverá prestar informações e esclarecimentos que venham a ser solicitados pela contratante.</w:t>
      </w:r>
    </w:p>
    <w:p w14:paraId="5F06A8FB">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7.1.6.</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488760E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7.1.7.</w:t>
      </w:r>
      <w:r>
        <w:rPr>
          <w:rFonts w:hint="default" w:ascii="Arial" w:hAnsi="Arial" w:eastAsia="Times New Roman" w:cs="Arial"/>
          <w:color w:val="000000"/>
          <w:sz w:val="17"/>
          <w:szCs w:val="17"/>
        </w:rPr>
        <w:t xml:space="preserve"> Submeter-se à fiscalização da contratante, através do setor competente, para verificação da qualidade dos serviços, orientando, fiscalizando e intervindo ao seu exclusivo interesse, com a finalidade de garantir o exato cumprimento das condições pactuadas.</w:t>
      </w:r>
    </w:p>
    <w:p w14:paraId="5B32FA6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7.1.8.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7E18320">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7.1.9. </w:t>
      </w:r>
      <w:r>
        <w:rPr>
          <w:rFonts w:hint="default" w:ascii="Arial" w:hAnsi="Arial" w:eastAsia="Times New Roman" w:cs="Arial"/>
          <w:sz w:val="17"/>
          <w:szCs w:val="17"/>
        </w:rPr>
        <w:t>Efetuar os serviços, conforme especificações, prazo e local constantes no Termo de Referência e seus anexos, acompanhado da respectiva nota fiscal, na qual constarão as indicações referentes, no mínimo, a: marca, fabricante, modelo, procedência e prazo de garantia ou validade.</w:t>
      </w:r>
    </w:p>
    <w:p w14:paraId="59AE54F7">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7.1.10.</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77E3F761">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sz w:val="17"/>
          <w:szCs w:val="17"/>
        </w:rPr>
        <w:t>7.1.11.</w:t>
      </w:r>
      <w:r>
        <w:rPr>
          <w:rFonts w:hint="default" w:ascii="Arial" w:hAnsi="Arial" w:eastAsia="Times New Roman" w:cs="Arial"/>
          <w:sz w:val="17"/>
          <w:szCs w:val="17"/>
        </w:rPr>
        <w:t xml:space="preserve"> Deverá conter na Nota Fiscal, o número da Solicitação de Fornecimento ou número de empenho referente ao produto.</w:t>
      </w:r>
    </w:p>
    <w:p w14:paraId="50205494">
      <w:pPr>
        <w:pStyle w:val="303"/>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b/>
          <w:sz w:val="17"/>
          <w:szCs w:val="17"/>
        </w:rPr>
      </w:pPr>
      <w:r>
        <w:rPr>
          <w:rFonts w:hint="default" w:ascii="Arial" w:hAnsi="Arial" w:cs="Arial"/>
          <w:b/>
          <w:sz w:val="17"/>
          <w:szCs w:val="17"/>
        </w:rPr>
        <w:t>7.2. Das Obrigações da Contratante</w:t>
      </w:r>
    </w:p>
    <w:p w14:paraId="0344485B">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7.2.1. </w:t>
      </w:r>
      <w:r>
        <w:rPr>
          <w:rFonts w:hint="default" w:ascii="Arial" w:hAnsi="Arial" w:eastAsia="Times New Roman" w:cs="Arial"/>
          <w:color w:val="000000"/>
          <w:sz w:val="17"/>
          <w:szCs w:val="17"/>
        </w:rPr>
        <w:t>Promover o acompanhamento e a fiscalização da execução dos serviços.</w:t>
      </w:r>
    </w:p>
    <w:p w14:paraId="46BE21D0">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7.2.2. </w:t>
      </w:r>
      <w:r>
        <w:rPr>
          <w:rFonts w:hint="default" w:ascii="Arial" w:hAnsi="Arial" w:eastAsia="Times New Roman" w:cs="Arial"/>
          <w:color w:val="000000"/>
          <w:sz w:val="17"/>
          <w:szCs w:val="17"/>
        </w:rPr>
        <w:t>Prestar informações, relativas ao objeto da aquisição, que venham a ser solicitadas pela licitante vencedora.</w:t>
      </w:r>
    </w:p>
    <w:p w14:paraId="2573DD6B">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62A4C1A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7.2.4.</w:t>
      </w:r>
      <w:r>
        <w:rPr>
          <w:rFonts w:hint="default" w:ascii="Arial" w:hAnsi="Arial" w:eastAsia="Times New Roman" w:cs="Arial"/>
          <w:color w:val="000000"/>
          <w:sz w:val="17"/>
          <w:szCs w:val="17"/>
        </w:rPr>
        <w:t xml:space="preserve"> Rejeitar o (s) serviço (s) e/ou que não satisfizerem aos padrões exigidos nas especificações e recomendações da contratante.</w:t>
      </w:r>
    </w:p>
    <w:p w14:paraId="12643CC1">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execução do(s) serviço(s), após 01 (um) dia corrido da geração da Solicitação de Fornecimento.</w:t>
      </w:r>
    </w:p>
    <w:p w14:paraId="38BE13EF">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134E88D4">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7.2.7.</w:t>
      </w:r>
      <w:r>
        <w:rPr>
          <w:rFonts w:hint="default" w:ascii="Arial" w:hAnsi="Arial" w:eastAsia="Times New Roman" w:cs="Arial"/>
          <w:color w:val="000000"/>
          <w:sz w:val="17"/>
          <w:szCs w:val="17"/>
        </w:rPr>
        <w:t xml:space="preserve"> Cumprir e fazer-se cumprir o disposto nas cláusulas deste Termo de Referência.</w:t>
      </w:r>
    </w:p>
    <w:p w14:paraId="4739939A">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3D17D705">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b/>
          <w:color w:val="000000"/>
          <w:sz w:val="17"/>
          <w:szCs w:val="17"/>
        </w:rPr>
      </w:pPr>
    </w:p>
    <w:p w14:paraId="483ED62C">
      <w:pPr>
        <w:pStyle w:val="278"/>
        <w:pageBreakBefore w:val="0"/>
        <w:widowControl/>
        <w:numPr>
          <w:ilvl w:val="0"/>
          <w:numId w:val="0"/>
        </w:numPr>
        <w:kinsoku/>
        <w:wordWrap/>
        <w:overflowPunct/>
        <w:topLinePunct w:val="0"/>
        <w:bidi w:val="0"/>
        <w:snapToGrid/>
        <w:spacing w:before="0" w:after="0" w:line="276" w:lineRule="auto"/>
        <w:ind w:leftChars="0" w:right="0" w:rightChars="0"/>
        <w:rPr>
          <w:rFonts w:hint="default" w:ascii="Arial" w:hAnsi="Arial" w:cs="Arial"/>
          <w:sz w:val="17"/>
          <w:szCs w:val="17"/>
        </w:rPr>
      </w:pPr>
      <w:r>
        <w:rPr>
          <w:rFonts w:hint="default" w:ascii="Arial" w:hAnsi="Arial" w:cs="Arial"/>
          <w:sz w:val="17"/>
          <w:szCs w:val="17"/>
          <w:lang w:val="pt-BR"/>
        </w:rPr>
        <w:t xml:space="preserve">8. </w:t>
      </w:r>
      <w:r>
        <w:rPr>
          <w:rFonts w:hint="default" w:ascii="Arial" w:hAnsi="Arial" w:cs="Arial"/>
          <w:sz w:val="17"/>
          <w:szCs w:val="17"/>
        </w:rPr>
        <w:t>DA FISCALIZAÇÃO DO CONTRATO</w:t>
      </w:r>
    </w:p>
    <w:p w14:paraId="4D8412D7">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b w:val="0"/>
          <w:sz w:val="17"/>
          <w:szCs w:val="17"/>
        </w:rPr>
      </w:pPr>
      <w:r>
        <w:rPr>
          <w:rFonts w:hint="default" w:ascii="Arial" w:hAnsi="Arial" w:cs="Arial"/>
          <w:sz w:val="17"/>
          <w:szCs w:val="17"/>
        </w:rPr>
        <w:t>8.1</w:t>
      </w:r>
      <w:r>
        <w:rPr>
          <w:rFonts w:hint="default" w:ascii="Arial" w:hAnsi="Arial" w:cs="Arial"/>
          <w:b w:val="0"/>
          <w:sz w:val="17"/>
          <w:szCs w:val="17"/>
        </w:rPr>
        <w:t>. A execução do contrato deverá ser acompanhada e fiscalizada pelos fiscais do contrato ou pelos respectivos substitutos que vierem a ser nomeados pela Administração, a saber:</w:t>
      </w:r>
    </w:p>
    <w:p w14:paraId="000915EB">
      <w:pPr>
        <w:pStyle w:val="306"/>
        <w:pageBreakBefore w:val="0"/>
        <w:widowControl/>
        <w:numPr>
          <w:ilvl w:val="0"/>
          <w:numId w:val="26"/>
        </w:numPr>
        <w:kinsoku/>
        <w:wordWrap/>
        <w:overflowPunct/>
        <w:topLinePunct w:val="0"/>
        <w:bidi w:val="0"/>
        <w:snapToGrid/>
        <w:spacing w:before="0" w:after="0"/>
        <w:ind w:left="480" w:leftChars="200" w:right="0" w:firstLine="7" w:firstLineChars="0"/>
        <w:rPr>
          <w:rFonts w:hint="default" w:ascii="Arial" w:hAnsi="Arial" w:cs="Arial"/>
          <w:sz w:val="17"/>
          <w:szCs w:val="17"/>
        </w:rPr>
      </w:pPr>
      <w:r>
        <w:rPr>
          <w:rFonts w:hint="default" w:ascii="Arial" w:hAnsi="Arial" w:cs="Arial"/>
          <w:sz w:val="17"/>
          <w:szCs w:val="17"/>
        </w:rPr>
        <w:t>Simonne de Sousa Montes</w:t>
      </w:r>
    </w:p>
    <w:p w14:paraId="52BA6A40">
      <w:pPr>
        <w:pStyle w:val="306"/>
        <w:pageBreakBefore w:val="0"/>
        <w:widowControl/>
        <w:numPr>
          <w:ilvl w:val="0"/>
          <w:numId w:val="0"/>
        </w:numPr>
        <w:kinsoku/>
        <w:wordWrap/>
        <w:overflowPunct/>
        <w:topLinePunct w:val="0"/>
        <w:bidi w:val="0"/>
        <w:snapToGrid/>
        <w:spacing w:before="0" w:after="0"/>
        <w:ind w:right="0" w:rightChars="0"/>
        <w:rPr>
          <w:rFonts w:hint="default" w:ascii="Arial" w:hAnsi="Arial" w:cs="Arial"/>
          <w:sz w:val="17"/>
          <w:szCs w:val="17"/>
        </w:rPr>
      </w:pPr>
    </w:p>
    <w:p w14:paraId="628624BE">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
          <w:color w:val="auto"/>
          <w:sz w:val="17"/>
          <w:szCs w:val="17"/>
        </w:rPr>
      </w:pPr>
      <w:r>
        <w:rPr>
          <w:rFonts w:hint="default" w:ascii="Arial" w:hAnsi="Arial" w:cs="Arial"/>
          <w:b/>
          <w:color w:val="auto"/>
          <w:sz w:val="17"/>
          <w:szCs w:val="17"/>
        </w:rPr>
        <w:t>9. CRITÉRIOS DE MEDIÇÃO E PAGAMENTO</w:t>
      </w:r>
    </w:p>
    <w:p w14:paraId="161ADE2F">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sz w:val="17"/>
          <w:szCs w:val="17"/>
        </w:rPr>
      </w:pPr>
      <w:r>
        <w:rPr>
          <w:rFonts w:hint="default" w:ascii="Arial" w:hAnsi="Arial" w:cs="Arial"/>
          <w:sz w:val="17"/>
          <w:szCs w:val="17"/>
        </w:rPr>
        <w:t>9.1. Recebimento</w:t>
      </w:r>
    </w:p>
    <w:p w14:paraId="1546A0FF">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b w:val="0"/>
          <w:sz w:val="17"/>
          <w:szCs w:val="17"/>
        </w:rPr>
      </w:pPr>
      <w:r>
        <w:rPr>
          <w:rFonts w:hint="default" w:ascii="Arial" w:hAnsi="Arial" w:cs="Arial"/>
          <w:sz w:val="17"/>
          <w:szCs w:val="17"/>
        </w:rPr>
        <w:t>9.1.1.</w:t>
      </w:r>
      <w:r>
        <w:rPr>
          <w:rFonts w:hint="default" w:ascii="Arial" w:hAnsi="Arial" w:cs="Arial"/>
          <w:b w:val="0"/>
          <w:sz w:val="17"/>
          <w:szCs w:val="17"/>
        </w:rPr>
        <w:t xml:space="preserve"> Os serviços serão efetuados, de forma sumária,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D725E35">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color w:val="auto"/>
          <w:sz w:val="17"/>
          <w:szCs w:val="17"/>
        </w:rPr>
      </w:pPr>
      <w:r>
        <w:rPr>
          <w:rFonts w:hint="default" w:ascii="Arial" w:hAnsi="Arial" w:cs="Arial" w:eastAsiaTheme="majorEastAsia"/>
          <w:b/>
          <w:bCs/>
          <w:sz w:val="17"/>
          <w:szCs w:val="17"/>
          <w:lang w:eastAsia="pt-BR"/>
        </w:rPr>
        <w:t>9.</w:t>
      </w:r>
      <w:r>
        <w:rPr>
          <w:rFonts w:hint="default" w:ascii="Arial" w:hAnsi="Arial" w:cs="Arial"/>
          <w:b/>
          <w:sz w:val="17"/>
          <w:szCs w:val="17"/>
          <w:lang w:eastAsia="pt-BR"/>
        </w:rPr>
        <w:t>1.2.</w:t>
      </w:r>
      <w:r>
        <w:rPr>
          <w:rFonts w:hint="default" w:ascii="Arial" w:hAnsi="Arial" w:cs="Arial"/>
          <w:sz w:val="17"/>
          <w:szCs w:val="17"/>
          <w:lang w:eastAsia="pt-BR"/>
        </w:rPr>
        <w:t xml:space="preserve"> </w:t>
      </w:r>
      <w:r>
        <w:rPr>
          <w:rFonts w:hint="default" w:ascii="Arial" w:hAnsi="Arial" w:cs="Arial"/>
          <w:color w:val="auto"/>
          <w:sz w:val="17"/>
          <w:szCs w:val="17"/>
        </w:rPr>
        <w:t>O fornecimento do objeto será de forma Parcelada.</w:t>
      </w:r>
    </w:p>
    <w:p w14:paraId="376E41F0">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sz w:val="17"/>
          <w:szCs w:val="17"/>
        </w:rPr>
        <w:t>9.2. Liquidação</w:t>
      </w:r>
    </w:p>
    <w:p w14:paraId="07DCB2F9">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9.2.1</w:t>
      </w:r>
      <w:r>
        <w:rPr>
          <w:rFonts w:hint="default" w:ascii="Arial" w:hAnsi="Arial" w:cs="Arial"/>
          <w:sz w:val="17"/>
          <w:szCs w:val="17"/>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277B989F">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color w:val="auto"/>
          <w:sz w:val="17"/>
          <w:szCs w:val="17"/>
        </w:rPr>
      </w:pPr>
      <w:r>
        <w:rPr>
          <w:rFonts w:hint="default" w:ascii="Arial" w:hAnsi="Arial" w:cs="Arial"/>
          <w:b/>
          <w:sz w:val="17"/>
          <w:szCs w:val="17"/>
        </w:rPr>
        <w:t>9.2.2.</w:t>
      </w:r>
      <w:r>
        <w:rPr>
          <w:rFonts w:hint="default" w:ascii="Arial" w:hAnsi="Arial" w:cs="Arial"/>
          <w:sz w:val="17"/>
          <w:szCs w:val="17"/>
        </w:rPr>
        <w:t xml:space="preserve"> </w:t>
      </w:r>
      <w:r>
        <w:rPr>
          <w:rFonts w:hint="default" w:ascii="Arial" w:hAnsi="Arial" w:cs="Arial"/>
          <w:color w:val="auto"/>
          <w:sz w:val="17"/>
          <w:szCs w:val="17"/>
        </w:rPr>
        <w:t>Caso a contratada não apresente carta de correção no prazo estipulado, o prazo para pagamento será recontado, a partir da data de sua apresentação.</w:t>
      </w:r>
    </w:p>
    <w:p w14:paraId="65674207">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sz w:val="17"/>
          <w:szCs w:val="17"/>
        </w:rPr>
        <w:t>9.3. Pagamento</w:t>
      </w:r>
    </w:p>
    <w:p w14:paraId="71361F85">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9.3.1.</w:t>
      </w:r>
      <w:r>
        <w:rPr>
          <w:rFonts w:hint="default" w:ascii="Arial" w:hAnsi="Arial" w:cs="Arial"/>
          <w:sz w:val="17"/>
          <w:szCs w:val="17"/>
        </w:rPr>
        <w:t xml:space="preserve"> O pagamento do objeto deste termo será efetuado em moeda corrente, através de ordem bancária, sem juros e atualização monetária, até 30 dias após a apresentação de Nota Fiscal.</w:t>
      </w:r>
    </w:p>
    <w:p w14:paraId="5559EFCD">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56C01DA1">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053216B3">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4846E6FF">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sz w:val="17"/>
          <w:szCs w:val="17"/>
        </w:rPr>
      </w:pPr>
    </w:p>
    <w:p w14:paraId="5328CDDC">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b/>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10.</w:t>
      </w:r>
      <w:r>
        <w:rPr>
          <w:rFonts w:hint="default" w:ascii="Arial" w:hAnsi="Arial" w:cs="Arial"/>
          <w:b/>
          <w:color w:val="000000" w:themeColor="text1"/>
          <w:sz w:val="17"/>
          <w:szCs w:val="17"/>
          <w14:textFill>
            <w14:solidFill>
              <w14:schemeClr w14:val="tx1"/>
            </w14:solidFill>
          </w14:textFill>
        </w:rPr>
        <w:t xml:space="preserve"> FORMA E CRITÉRIOS DE SELEÇÃO DO FORNECEDOR</w:t>
      </w:r>
    </w:p>
    <w:p w14:paraId="5D6D6538">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7"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 xml:space="preserve">10.1. </w:t>
      </w:r>
      <w:r>
        <w:rPr>
          <w:rFonts w:hint="default" w:ascii="Arial" w:hAnsi="Arial" w:cs="Arial"/>
          <w:color w:val="000000" w:themeColor="text1"/>
          <w:sz w:val="17"/>
          <w:szCs w:val="17"/>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sz w:val="17"/>
          <w:szCs w:val="17"/>
        </w:rPr>
        <w:t>de forma Parcelada, com base nos parâmetros da Lei 14.133/2021.</w:t>
      </w:r>
    </w:p>
    <w:p w14:paraId="577F3AF1">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10.2. Da Habilitação Jurídica, Fiscal, Social, Trabalhista e Econômico-financeira</w:t>
      </w:r>
    </w:p>
    <w:p w14:paraId="02C7BE81">
      <w:pPr>
        <w:pStyle w:val="305"/>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b/>
          <w:sz w:val="17"/>
          <w:szCs w:val="17"/>
        </w:rPr>
        <w:t>10.2.1.</w:t>
      </w:r>
      <w:r>
        <w:rPr>
          <w:rFonts w:hint="default" w:ascii="Arial" w:hAnsi="Arial" w:cs="Arial"/>
          <w:sz w:val="17"/>
          <w:szCs w:val="17"/>
        </w:rPr>
        <w:t xml:space="preserve"> Os documentos necessários para habilitação do fornecedor se encontrarão descritos em tópico específico contido no edital.</w:t>
      </w:r>
    </w:p>
    <w:p w14:paraId="49C74652">
      <w:pPr>
        <w:pStyle w:val="278"/>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10.3. Qualificação Técnica</w:t>
      </w:r>
    </w:p>
    <w:p w14:paraId="54E43A56">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10.3.1. </w:t>
      </w:r>
      <w:r>
        <w:rPr>
          <w:rFonts w:hint="default" w:ascii="Arial" w:hAnsi="Arial" w:cs="Arial"/>
          <w:sz w:val="17"/>
          <w:szCs w:val="17"/>
        </w:rPr>
        <w:t>Comprovação de aptidão para o fornecimento de bens similares, com complexidade tecnológica e operacional equivalente ou superior ao objeto ou ao item pertinente, por meio da apresentação de certidões ou atestados emitidos por pessoas jurídicas de direito público ou privado.</w:t>
      </w:r>
    </w:p>
    <w:p w14:paraId="6465F8CE">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lang w:val="pt-BR"/>
        </w:rPr>
      </w:pPr>
      <w:r>
        <w:rPr>
          <w:rFonts w:hint="default" w:ascii="Arial" w:hAnsi="Arial" w:cs="Arial"/>
          <w:sz w:val="17"/>
          <w:szCs w:val="17"/>
          <w:lang w:val="pt-BR"/>
        </w:rPr>
        <w:t>10.3.2 Exigência de alvará sanitário, Registro no CNES (Cadastro Nacional de Estabelecimento de Saúde) e (CRM) Registro nos Conselhos Regionais de Medicina e (COREN) Enfermagem.</w:t>
      </w:r>
    </w:p>
    <w:p w14:paraId="3E4B3E0A">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lang w:val="pt-BR"/>
        </w:rPr>
      </w:pPr>
    </w:p>
    <w:p w14:paraId="519E72E5">
      <w:pPr>
        <w:pStyle w:val="278"/>
        <w:pageBreakBefore w:val="0"/>
        <w:widowControl/>
        <w:numPr>
          <w:ilvl w:val="0"/>
          <w:numId w:val="0"/>
        </w:numPr>
        <w:kinsoku/>
        <w:wordWrap/>
        <w:overflowPunct/>
        <w:topLinePunct w:val="0"/>
        <w:bidi w:val="0"/>
        <w:snapToGrid/>
        <w:spacing w:before="0" w:after="0" w:line="360" w:lineRule="auto"/>
        <w:ind w:left="0" w:leftChars="0" w:right="0" w:firstLine="7" w:firstLineChars="0"/>
        <w:rPr>
          <w:rFonts w:hint="default" w:ascii="Arial" w:hAnsi="Arial" w:cs="Arial"/>
          <w:sz w:val="17"/>
          <w:szCs w:val="17"/>
        </w:rPr>
      </w:pPr>
      <w:r>
        <w:rPr>
          <w:rFonts w:hint="default" w:ascii="Arial" w:hAnsi="Arial" w:cs="Arial"/>
          <w:sz w:val="17"/>
          <w:szCs w:val="17"/>
        </w:rPr>
        <w:t xml:space="preserve">11. ESTIMATIVAS DO VALOR DA CONTRATAÇÃO </w:t>
      </w:r>
    </w:p>
    <w:p w14:paraId="1664D3E9">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 xml:space="preserve">11.1. </w:t>
      </w:r>
      <w:r>
        <w:rPr>
          <w:rFonts w:hint="default" w:ascii="Arial" w:hAnsi="Arial" w:eastAsia="Times New Roman" w:cs="Arial"/>
          <w:sz w:val="17"/>
          <w:szCs w:val="17"/>
        </w:rPr>
        <w:t xml:space="preserve">Estima-se para a contratação almejada o valor total de </w:t>
      </w:r>
      <w:r>
        <w:rPr>
          <w:rFonts w:hint="default" w:ascii="Arial" w:hAnsi="Arial" w:cs="Arial"/>
          <w:sz w:val="17"/>
          <w:szCs w:val="17"/>
        </w:rPr>
        <w:t>R$ 1.</w:t>
      </w:r>
      <w:r>
        <w:rPr>
          <w:rFonts w:hint="default" w:ascii="Arial" w:hAnsi="Arial" w:cs="Arial"/>
          <w:sz w:val="17"/>
          <w:szCs w:val="17"/>
          <w:lang w:val="pt-BR"/>
        </w:rPr>
        <w:t>426.540,00 (um milhão, quatrocentos e vinte e seis mil e quinhentos e quarenta reais</w:t>
      </w:r>
      <w:r>
        <w:rPr>
          <w:rFonts w:hint="default" w:ascii="Arial" w:hAnsi="Arial" w:cs="Arial"/>
          <w:sz w:val="17"/>
          <w:szCs w:val="17"/>
        </w:rPr>
        <w:t>).</w:t>
      </w:r>
    </w:p>
    <w:p w14:paraId="54B78FAE">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lang w:eastAsia="pt-BR"/>
        </w:rPr>
      </w:pPr>
      <w:r>
        <w:rPr>
          <w:rFonts w:hint="default" w:ascii="Arial" w:hAnsi="Arial" w:eastAsia="Times New Roman" w:cs="Arial"/>
          <w:b/>
          <w:color w:val="000000"/>
          <w:sz w:val="17"/>
          <w:szCs w:val="17"/>
        </w:rPr>
        <w:t>11.2.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6225692">
      <w:pPr>
        <w:pageBreakBefore w:val="0"/>
        <w:widowControl/>
        <w:kinsoku/>
        <w:wordWrap/>
        <w:overflowPunct/>
        <w:topLinePunct w:val="0"/>
        <w:bidi w:val="0"/>
        <w:snapToGrid/>
        <w:spacing w:line="276" w:lineRule="auto"/>
        <w:ind w:left="0" w:leftChars="0" w:right="0" w:firstLine="7" w:firstLineChars="0"/>
        <w:jc w:val="both"/>
        <w:rPr>
          <w:rFonts w:hint="default" w:ascii="Arial" w:hAnsi="Arial" w:eastAsia="Times New Roman" w:cs="Arial"/>
          <w:sz w:val="17"/>
          <w:szCs w:val="17"/>
          <w:lang w:eastAsia="pt-BR"/>
        </w:rPr>
      </w:pPr>
    </w:p>
    <w:p w14:paraId="6F98EB10">
      <w:pPr>
        <w:pStyle w:val="219"/>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b/>
          <w:color w:val="auto"/>
          <w:sz w:val="17"/>
          <w:szCs w:val="17"/>
        </w:rPr>
      </w:pPr>
      <w:r>
        <w:rPr>
          <w:rFonts w:hint="default" w:ascii="Arial" w:hAnsi="Arial" w:cs="Arial"/>
          <w:b/>
          <w:color w:val="auto"/>
          <w:sz w:val="17"/>
          <w:szCs w:val="17"/>
        </w:rPr>
        <w:t>12. DA VIGÊNCIA</w:t>
      </w:r>
    </w:p>
    <w:p w14:paraId="4CCC769F">
      <w:pPr>
        <w:pStyle w:val="220"/>
        <w:pageBreakBefore w:val="0"/>
        <w:widowControl/>
        <w:suppressAutoHyphens/>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b/>
          <w:sz w:val="17"/>
          <w:szCs w:val="17"/>
        </w:rPr>
        <w:t xml:space="preserve">12.1. </w:t>
      </w:r>
      <w:r>
        <w:rPr>
          <w:rFonts w:hint="default" w:ascii="Arial" w:hAnsi="Arial" w:cs="Arial"/>
          <w:sz w:val="17"/>
          <w:szCs w:val="17"/>
        </w:rPr>
        <w:t>O prazo de vigência da contratação será de 12 (doze) meses a contar da data de homologação do Contrato, podendo ser prorrogado, de acordo com a Lei vigente.</w:t>
      </w:r>
    </w:p>
    <w:p w14:paraId="40F60EB3">
      <w:pPr>
        <w:pStyle w:val="278"/>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cs="Arial"/>
          <w:sz w:val="17"/>
          <w:szCs w:val="17"/>
        </w:rPr>
      </w:pPr>
      <w:r>
        <w:rPr>
          <w:rFonts w:hint="default" w:ascii="Arial" w:hAnsi="Arial" w:cs="Arial"/>
          <w:sz w:val="17"/>
          <w:szCs w:val="17"/>
        </w:rPr>
        <w:t xml:space="preserve">13. ADEQUAÇÃO ORÇAMENTÁRIA </w:t>
      </w:r>
    </w:p>
    <w:p w14:paraId="5363ED37">
      <w:pPr>
        <w:pStyle w:val="303"/>
        <w:pageBreakBefore w:val="0"/>
        <w:widowControl/>
        <w:numPr>
          <w:ilvl w:val="0"/>
          <w:numId w:val="0"/>
        </w:numPr>
        <w:kinsoku/>
        <w:wordWrap/>
        <w:overflowPunct/>
        <w:topLinePunct w:val="0"/>
        <w:bidi w:val="0"/>
        <w:snapToGrid/>
        <w:spacing w:before="0" w:after="0"/>
        <w:ind w:left="0" w:leftChars="0" w:right="0" w:firstLine="7" w:firstLineChars="0"/>
        <w:rPr>
          <w:rFonts w:hint="default" w:ascii="Arial" w:hAnsi="Arial" w:eastAsia="Times New Roman" w:cs="Arial"/>
          <w:color w:val="000000"/>
          <w:sz w:val="17"/>
          <w:szCs w:val="17"/>
        </w:rPr>
      </w:pPr>
      <w:r>
        <w:rPr>
          <w:rFonts w:hint="default" w:ascii="Arial" w:hAnsi="Arial" w:cs="Arial"/>
          <w:b/>
          <w:sz w:val="17"/>
          <w:szCs w:val="17"/>
        </w:rPr>
        <w:t>13.1</w:t>
      </w:r>
      <w:r>
        <w:rPr>
          <w:rFonts w:hint="default" w:ascii="Arial" w:hAnsi="Arial" w:cs="Arial"/>
          <w:sz w:val="17"/>
          <w:szCs w:val="17"/>
        </w:rPr>
        <w:t>. As despesas decorrentes da presente contratação correrão por conta da dotação orçamentária do orçamento em vigor</w:t>
      </w:r>
      <w:r>
        <w:rPr>
          <w:rFonts w:hint="default" w:ascii="Arial" w:hAnsi="Arial" w:eastAsia="Times New Roman" w:cs="Arial"/>
          <w:color w:val="000000"/>
          <w:sz w:val="17"/>
          <w:szCs w:val="17"/>
        </w:rPr>
        <w:t xml:space="preserve">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123A51C5">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sz w:val="17"/>
          <w:szCs w:val="17"/>
        </w:rPr>
      </w:pPr>
      <w:r>
        <w:rPr>
          <w:rFonts w:hint="default" w:ascii="Arial" w:hAnsi="Arial" w:cs="Arial"/>
          <w:sz w:val="17"/>
          <w:szCs w:val="17"/>
        </w:rPr>
        <w:t>CENTROS DE CUSTOS</w:t>
      </w:r>
    </w:p>
    <w:p w14:paraId="2E6751B0">
      <w:pPr>
        <w:pStyle w:val="278"/>
        <w:pageBreakBefore w:val="0"/>
        <w:widowControl/>
        <w:numPr>
          <w:ilvl w:val="0"/>
          <w:numId w:val="0"/>
        </w:numPr>
        <w:kinsoku/>
        <w:wordWrap/>
        <w:overflowPunct/>
        <w:topLinePunct w:val="0"/>
        <w:bidi w:val="0"/>
        <w:snapToGrid/>
        <w:spacing w:before="0" w:after="0" w:line="276" w:lineRule="auto"/>
        <w:ind w:left="0" w:leftChars="0" w:right="0" w:firstLine="7" w:firstLineChars="0"/>
        <w:rPr>
          <w:rFonts w:hint="default" w:ascii="Arial" w:hAnsi="Arial" w:cs="Arial"/>
          <w:sz w:val="17"/>
          <w:szCs w:val="17"/>
        </w:rPr>
      </w:pPr>
      <w:r>
        <w:rPr>
          <w:rFonts w:hint="default" w:ascii="Arial" w:hAnsi="Arial" w:cs="Arial"/>
          <w:sz w:val="17"/>
          <w:szCs w:val="17"/>
        </w:rPr>
        <w:t xml:space="preserve">02.009 – FUNDO MUNICIPAL DE SAÚDE </w:t>
      </w:r>
    </w:p>
    <w:p w14:paraId="59DB1555">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sz w:val="17"/>
          <w:szCs w:val="17"/>
        </w:rPr>
        <w:t>2.099 – Gestão do Serviço de Regulação, Controle, Auditoria e Avaliação.</w:t>
      </w:r>
    </w:p>
    <w:p w14:paraId="5B839228">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r>
        <w:rPr>
          <w:rFonts w:hint="default" w:ascii="Arial" w:hAnsi="Arial" w:cs="Arial"/>
          <w:sz w:val="17"/>
          <w:szCs w:val="17"/>
        </w:rPr>
        <w:t>3.3.90.39.00.00.00.00 - 1.500 – Outros Serviços de Terceiros Pessoa Jurídica (Ficha: 463)</w:t>
      </w:r>
    </w:p>
    <w:p w14:paraId="69A47EFA">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p w14:paraId="4A9D8BA7">
      <w:pPr>
        <w:pageBreakBefore w:val="0"/>
        <w:widowControl/>
        <w:kinsoku/>
        <w:wordWrap/>
        <w:overflowPunct/>
        <w:topLinePunct w:val="0"/>
        <w:bidi w:val="0"/>
        <w:snapToGrid/>
        <w:spacing w:line="276" w:lineRule="auto"/>
        <w:ind w:left="0" w:leftChars="0" w:right="0" w:firstLine="7" w:firstLineChars="0"/>
        <w:jc w:val="both"/>
        <w:rPr>
          <w:rFonts w:hint="default" w:ascii="Arial" w:hAnsi="Arial" w:cs="Arial"/>
          <w:sz w:val="17"/>
          <w:szCs w:val="17"/>
        </w:rPr>
      </w:pPr>
    </w:p>
    <w:tbl>
      <w:tblPr>
        <w:tblStyle w:val="38"/>
        <w:tblpPr w:leftFromText="180" w:rightFromText="180" w:vertAnchor="text" w:horzAnchor="page" w:tblpX="1638" w:tblpY="9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168BD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3936D4C5">
            <w:pPr>
              <w:pageBreakBefore w:val="0"/>
              <w:widowControl/>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3171A857">
            <w:pPr>
              <w:pageBreakBefore w:val="0"/>
              <w:widowControl/>
              <w:kinsoku/>
              <w:wordWrap/>
              <w:overflowPunct/>
              <w:topLinePunct w:val="0"/>
              <w:bidi w:val="0"/>
              <w:snapToGrid/>
              <w:spacing w:line="276" w:lineRule="auto"/>
              <w:ind w:left="0" w:right="0"/>
              <w:rPr>
                <w:rFonts w:hint="default" w:ascii="Arial" w:hAnsi="Arial" w:cs="Arial"/>
                <w:sz w:val="17"/>
                <w:szCs w:val="17"/>
              </w:rPr>
            </w:pPr>
            <w:r>
              <w:rPr>
                <w:rFonts w:hint="default" w:ascii="Arial" w:hAnsi="Arial" w:cs="Arial"/>
                <w:sz w:val="17"/>
                <w:szCs w:val="17"/>
              </w:rPr>
              <w:t xml:space="preserve">               _________________________</w:t>
            </w:r>
          </w:p>
        </w:tc>
      </w:tr>
      <w:tr w14:paraId="1770F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49" w:type="dxa"/>
          </w:tcPr>
          <w:p w14:paraId="3F25034D">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sz w:val="17"/>
                <w:szCs w:val="17"/>
              </w:rPr>
              <w:t>Vinicius Franzoni Barbosa Ferreira</w:t>
            </w:r>
          </w:p>
        </w:tc>
        <w:tc>
          <w:tcPr>
            <w:tcW w:w="4522" w:type="dxa"/>
          </w:tcPr>
          <w:p w14:paraId="4124BEBF">
            <w:pPr>
              <w:pageBreakBefore w:val="0"/>
              <w:widowControl/>
              <w:kinsoku/>
              <w:wordWrap/>
              <w:overflowPunct/>
              <w:topLinePunct w:val="0"/>
              <w:bidi w:val="0"/>
              <w:snapToGrid/>
              <w:spacing w:line="276" w:lineRule="auto"/>
              <w:ind w:left="0" w:right="0"/>
              <w:rPr>
                <w:rFonts w:hint="default" w:ascii="Arial" w:hAnsi="Arial" w:cs="Arial"/>
                <w:sz w:val="17"/>
                <w:szCs w:val="17"/>
              </w:rPr>
            </w:pPr>
            <w:r>
              <w:rPr>
                <w:rFonts w:hint="default" w:ascii="Arial" w:hAnsi="Arial" w:cs="Arial"/>
                <w:sz w:val="17"/>
                <w:szCs w:val="17"/>
              </w:rPr>
              <w:t xml:space="preserve">                      Flávia de Souza Werneck</w:t>
            </w:r>
          </w:p>
        </w:tc>
      </w:tr>
      <w:tr w14:paraId="1D216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49" w:type="dxa"/>
          </w:tcPr>
          <w:p w14:paraId="36CB4B8A">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b/>
                <w:sz w:val="17"/>
                <w:szCs w:val="17"/>
              </w:rPr>
              <w:t>Secretário Municipal de Saúde</w:t>
            </w:r>
          </w:p>
        </w:tc>
        <w:tc>
          <w:tcPr>
            <w:tcW w:w="4522" w:type="dxa"/>
          </w:tcPr>
          <w:p w14:paraId="5C0B99C7">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tc>
      </w:tr>
      <w:tr w14:paraId="38F6E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2D021631">
            <w:pPr>
              <w:pageBreakBefore w:val="0"/>
              <w:widowControl/>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1B60C21B">
            <w:pPr>
              <w:pageBreakBefore w:val="0"/>
              <w:widowControl/>
              <w:kinsoku/>
              <w:wordWrap/>
              <w:overflowPunct/>
              <w:topLinePunct w:val="0"/>
              <w:bidi w:val="0"/>
              <w:snapToGrid/>
              <w:spacing w:line="240" w:lineRule="auto"/>
              <w:ind w:left="0" w:right="0"/>
              <w:jc w:val="center"/>
              <w:rPr>
                <w:rFonts w:hint="default" w:ascii="Arial" w:hAnsi="Arial" w:cs="Arial"/>
                <w:sz w:val="17"/>
                <w:szCs w:val="17"/>
              </w:rPr>
            </w:pPr>
            <w:r>
              <w:rPr>
                <w:rFonts w:hint="default" w:ascii="Arial" w:hAnsi="Arial" w:cs="Arial"/>
                <w:sz w:val="17"/>
                <w:szCs w:val="17"/>
              </w:rPr>
              <w:t>_________________________________</w:t>
            </w:r>
          </w:p>
        </w:tc>
      </w:tr>
      <w:tr w14:paraId="56DE3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49" w:type="dxa"/>
          </w:tcPr>
          <w:p w14:paraId="538351DF">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sz w:val="17"/>
                <w:szCs w:val="17"/>
              </w:rPr>
              <w:t>Lucas Estevão Almeida</w:t>
            </w:r>
          </w:p>
          <w:p w14:paraId="584DD900">
            <w:pPr>
              <w:pageBreakBefore w:val="0"/>
              <w:widowControl/>
              <w:kinsoku/>
              <w:wordWrap/>
              <w:overflowPunct/>
              <w:topLinePunct w:val="0"/>
              <w:bidi w:val="0"/>
              <w:snapToGrid/>
              <w:spacing w:line="276" w:lineRule="auto"/>
              <w:ind w:left="0" w:right="0"/>
              <w:jc w:val="center"/>
              <w:rPr>
                <w:rFonts w:hint="default" w:ascii="Arial" w:hAnsi="Arial" w:cs="Arial"/>
                <w:b/>
                <w:sz w:val="17"/>
                <w:szCs w:val="17"/>
              </w:rPr>
            </w:pPr>
            <w:r>
              <w:rPr>
                <w:rFonts w:hint="default" w:ascii="Arial" w:hAnsi="Arial" w:cs="Arial"/>
                <w:b/>
                <w:sz w:val="17"/>
                <w:szCs w:val="17"/>
              </w:rPr>
              <w:t>Cotação de Preços</w:t>
            </w:r>
          </w:p>
        </w:tc>
        <w:tc>
          <w:tcPr>
            <w:tcW w:w="4522" w:type="dxa"/>
          </w:tcPr>
          <w:p w14:paraId="0E3AD9A1">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sz w:val="17"/>
                <w:szCs w:val="17"/>
              </w:rPr>
              <w:t>Simonne de Sousa Montes</w:t>
            </w:r>
          </w:p>
          <w:p w14:paraId="421FFDB7">
            <w:pPr>
              <w:pageBreakBefore w:val="0"/>
              <w:widowControl/>
              <w:kinsoku/>
              <w:wordWrap/>
              <w:overflowPunct/>
              <w:topLinePunct w:val="0"/>
              <w:bidi w:val="0"/>
              <w:snapToGrid/>
              <w:spacing w:line="276" w:lineRule="auto"/>
              <w:ind w:left="0" w:right="0"/>
              <w:jc w:val="center"/>
              <w:rPr>
                <w:rFonts w:hint="default" w:ascii="Arial" w:hAnsi="Arial" w:cs="Arial"/>
                <w:sz w:val="17"/>
                <w:szCs w:val="17"/>
              </w:rPr>
            </w:pPr>
            <w:r>
              <w:rPr>
                <w:rFonts w:hint="default" w:ascii="Arial" w:hAnsi="Arial" w:cs="Arial" w:eastAsiaTheme="majorEastAsia"/>
                <w:b/>
                <w:bCs/>
                <w:sz w:val="17"/>
                <w:szCs w:val="17"/>
                <w:lang w:eastAsia="pt-BR"/>
              </w:rPr>
              <w:t>Fiscal do Contrato/ Secretaria de Saúde</w:t>
            </w:r>
          </w:p>
        </w:tc>
      </w:tr>
    </w:tbl>
    <w:p w14:paraId="680FF4ED">
      <w:pPr>
        <w:pStyle w:val="227"/>
        <w:pageBreakBefore w:val="0"/>
        <w:kinsoku/>
        <w:wordWrap/>
        <w:overflowPunct/>
        <w:topLinePunct w:val="0"/>
        <w:bidi w:val="0"/>
        <w:snapToGrid/>
        <w:ind w:left="0" w:right="0"/>
        <w:jc w:val="both"/>
        <w:rPr>
          <w:rFonts w:hint="default" w:ascii="Arial" w:hAnsi="Arial" w:cs="Arial" w:eastAsiaTheme="majorEastAsia"/>
          <w:bCs/>
          <w:sz w:val="18"/>
          <w:szCs w:val="18"/>
          <w:lang w:eastAsia="pt-BR"/>
        </w:rPr>
      </w:pPr>
      <w:r>
        <w:rPr>
          <w:rFonts w:hint="default" w:ascii="Arial" w:hAnsi="Arial" w:cs="Arial"/>
          <w:sz w:val="18"/>
          <w:szCs w:val="18"/>
        </w:rPr>
        <w:t xml:space="preserve">               </w:t>
      </w:r>
    </w:p>
    <w:p w14:paraId="79E01ECC">
      <w:pPr>
        <w:pStyle w:val="220"/>
        <w:autoSpaceDE w:val="0"/>
        <w:autoSpaceDN w:val="0"/>
        <w:adjustRightInd w:val="0"/>
        <w:spacing w:line="360" w:lineRule="auto"/>
        <w:ind w:left="0"/>
        <w:contextualSpacing w:val="0"/>
        <w:jc w:val="center"/>
        <w:rPr>
          <w:rFonts w:ascii="Arial" w:hAnsi="Arial" w:cs="Arial"/>
          <w:b/>
          <w:sz w:val="32"/>
          <w:szCs w:val="32"/>
        </w:rPr>
      </w:pPr>
    </w:p>
    <w:p w14:paraId="6F104D02">
      <w:pPr>
        <w:pStyle w:val="220"/>
        <w:autoSpaceDE w:val="0"/>
        <w:autoSpaceDN w:val="0"/>
        <w:adjustRightInd w:val="0"/>
        <w:spacing w:line="360" w:lineRule="auto"/>
        <w:ind w:left="0"/>
        <w:contextualSpacing w:val="0"/>
        <w:jc w:val="center"/>
        <w:rPr>
          <w:rFonts w:ascii="Arial" w:hAnsi="Arial" w:cs="Arial"/>
          <w:b/>
          <w:sz w:val="32"/>
          <w:szCs w:val="32"/>
        </w:rPr>
      </w:pPr>
    </w:p>
    <w:p w14:paraId="660E7434">
      <w:pPr>
        <w:pStyle w:val="220"/>
        <w:autoSpaceDE w:val="0"/>
        <w:autoSpaceDN w:val="0"/>
        <w:adjustRightInd w:val="0"/>
        <w:spacing w:line="360" w:lineRule="auto"/>
        <w:ind w:left="0"/>
        <w:contextualSpacing w:val="0"/>
        <w:jc w:val="center"/>
        <w:rPr>
          <w:rFonts w:ascii="Arial" w:hAnsi="Arial" w:cs="Arial"/>
          <w:b/>
          <w:sz w:val="32"/>
          <w:szCs w:val="32"/>
        </w:rPr>
      </w:pPr>
    </w:p>
    <w:p w14:paraId="757CB8A1">
      <w:pPr>
        <w:pStyle w:val="220"/>
        <w:autoSpaceDE w:val="0"/>
        <w:autoSpaceDN w:val="0"/>
        <w:adjustRightInd w:val="0"/>
        <w:spacing w:line="360" w:lineRule="auto"/>
        <w:ind w:left="0"/>
        <w:contextualSpacing w:val="0"/>
        <w:jc w:val="center"/>
        <w:rPr>
          <w:rFonts w:ascii="Arial" w:hAnsi="Arial" w:cs="Arial"/>
          <w:b/>
          <w:sz w:val="32"/>
          <w:szCs w:val="32"/>
        </w:rPr>
      </w:pPr>
    </w:p>
    <w:p w14:paraId="4A21AD48">
      <w:pPr>
        <w:pStyle w:val="220"/>
        <w:autoSpaceDE w:val="0"/>
        <w:autoSpaceDN w:val="0"/>
        <w:adjustRightInd w:val="0"/>
        <w:spacing w:line="360" w:lineRule="auto"/>
        <w:ind w:left="0"/>
        <w:contextualSpacing w:val="0"/>
        <w:jc w:val="center"/>
        <w:rPr>
          <w:rFonts w:ascii="Arial" w:hAnsi="Arial" w:cs="Arial"/>
          <w:b/>
          <w:sz w:val="32"/>
          <w:szCs w:val="32"/>
        </w:rPr>
      </w:pPr>
    </w:p>
    <w:p w14:paraId="5721F74E">
      <w:pPr>
        <w:pStyle w:val="220"/>
        <w:autoSpaceDE w:val="0"/>
        <w:autoSpaceDN w:val="0"/>
        <w:adjustRightInd w:val="0"/>
        <w:spacing w:line="360" w:lineRule="auto"/>
        <w:ind w:left="0"/>
        <w:contextualSpacing w:val="0"/>
        <w:jc w:val="center"/>
        <w:rPr>
          <w:rFonts w:ascii="Arial" w:hAnsi="Arial" w:cs="Arial"/>
          <w:b/>
          <w:sz w:val="32"/>
          <w:szCs w:val="32"/>
        </w:rPr>
      </w:pPr>
    </w:p>
    <w:p w14:paraId="64B8DCB7">
      <w:pPr>
        <w:pStyle w:val="220"/>
        <w:autoSpaceDE w:val="0"/>
        <w:autoSpaceDN w:val="0"/>
        <w:adjustRightInd w:val="0"/>
        <w:spacing w:line="360" w:lineRule="auto"/>
        <w:ind w:left="0"/>
        <w:contextualSpacing w:val="0"/>
        <w:jc w:val="center"/>
        <w:rPr>
          <w:rFonts w:ascii="Arial" w:hAnsi="Arial" w:cs="Arial"/>
          <w:b/>
          <w:sz w:val="32"/>
          <w:szCs w:val="32"/>
        </w:rPr>
      </w:pPr>
    </w:p>
    <w:p w14:paraId="78619F66">
      <w:pPr>
        <w:pStyle w:val="220"/>
        <w:autoSpaceDE w:val="0"/>
        <w:autoSpaceDN w:val="0"/>
        <w:adjustRightInd w:val="0"/>
        <w:spacing w:line="360" w:lineRule="auto"/>
        <w:ind w:left="0"/>
        <w:contextualSpacing w:val="0"/>
        <w:jc w:val="center"/>
        <w:rPr>
          <w:rFonts w:ascii="Arial" w:hAnsi="Arial" w:cs="Arial"/>
          <w:b/>
          <w:sz w:val="32"/>
          <w:szCs w:val="32"/>
        </w:rPr>
      </w:pPr>
    </w:p>
    <w:p w14:paraId="6E7BE39C">
      <w:pPr>
        <w:pStyle w:val="220"/>
        <w:autoSpaceDE w:val="0"/>
        <w:autoSpaceDN w:val="0"/>
        <w:adjustRightInd w:val="0"/>
        <w:spacing w:line="360" w:lineRule="auto"/>
        <w:ind w:left="0"/>
        <w:contextualSpacing w:val="0"/>
        <w:jc w:val="both"/>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073/2025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072/2025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13 de novembro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9882" w:type="dxa"/>
        <w:jc w:val="center"/>
        <w:tblLayout w:type="fixed"/>
        <w:tblCellMar>
          <w:top w:w="0" w:type="dxa"/>
          <w:left w:w="70" w:type="dxa"/>
          <w:bottom w:w="0" w:type="dxa"/>
          <w:right w:w="70" w:type="dxa"/>
        </w:tblCellMar>
      </w:tblPr>
      <w:tblGrid>
        <w:gridCol w:w="567"/>
        <w:gridCol w:w="4820"/>
        <w:gridCol w:w="567"/>
        <w:gridCol w:w="1037"/>
        <w:gridCol w:w="1431"/>
        <w:gridCol w:w="1460"/>
      </w:tblGrid>
      <w:tr w14:paraId="0B709AC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431" w:type="dxa"/>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460"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401E8255">
            <w:pPr>
              <w:pStyle w:val="219"/>
              <w:spacing w:after="0" w:line="276" w:lineRule="auto"/>
              <w:jc w:val="both"/>
              <w:rPr>
                <w:rFonts w:ascii="Arial" w:hAnsi="Arial" w:cs="Arial"/>
                <w:b/>
                <w:bCs/>
                <w:kern w:val="2"/>
                <w:sz w:val="16"/>
                <w:szCs w:val="16"/>
                <w:shd w:val="clear" w:color="auto" w:fill="FFFFFF"/>
                <w:lang w:eastAsia="en-US"/>
              </w:rPr>
            </w:pPr>
            <w:r>
              <w:rPr>
                <w:bCs/>
                <w:sz w:val="16"/>
                <w:szCs w:val="16"/>
              </w:rPr>
              <w:t xml:space="preserve">Locação de Ambulância UTI Móvel Adulto. Baixa Complexidade: o paciente será removido com o acompanhamento do médico, porém não estará entubado. </w:t>
            </w:r>
          </w:p>
        </w:tc>
        <w:tc>
          <w:tcPr>
            <w:tcW w:w="567" w:type="dxa"/>
            <w:tcBorders>
              <w:top w:val="nil"/>
              <w:left w:val="nil"/>
              <w:bottom w:val="single" w:color="auto" w:sz="4" w:space="0"/>
              <w:right w:val="single" w:color="auto" w:sz="4" w:space="0"/>
            </w:tcBorders>
            <w:shd w:val="clear" w:color="auto" w:fill="auto"/>
            <w:noWrap/>
            <w:vAlign w:val="center"/>
          </w:tcPr>
          <w:p w14:paraId="3DEA33C7">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52E15EA">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nil"/>
              <w:left w:val="single" w:color="auto" w:sz="4" w:space="0"/>
              <w:bottom w:val="single" w:color="auto" w:sz="4" w:space="0"/>
              <w:right w:val="single" w:color="auto" w:sz="4" w:space="0"/>
            </w:tcBorders>
          </w:tcPr>
          <w:p w14:paraId="160BE6A9">
            <w:pPr>
              <w:wordWrap w:val="0"/>
              <w:spacing w:after="0" w:line="240" w:lineRule="auto"/>
              <w:jc w:val="center"/>
              <w:rPr>
                <w:rFonts w:ascii="Arial" w:hAnsi="Arial" w:cs="Arial"/>
                <w:kern w:val="2"/>
                <w:sz w:val="16"/>
                <w:szCs w:val="16"/>
              </w:rPr>
            </w:pPr>
          </w:p>
        </w:tc>
        <w:tc>
          <w:tcPr>
            <w:tcW w:w="1460"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30B5440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1294B236">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4F753478">
            <w:pPr>
              <w:pStyle w:val="219"/>
              <w:spacing w:after="0" w:line="276" w:lineRule="auto"/>
              <w:jc w:val="both"/>
              <w:rPr>
                <w:rFonts w:ascii="Arial" w:hAnsi="Arial" w:cs="Arial"/>
                <w:b/>
                <w:bCs/>
                <w:kern w:val="2"/>
                <w:sz w:val="16"/>
                <w:szCs w:val="16"/>
                <w:shd w:val="clear" w:color="auto" w:fill="FFFFFF"/>
                <w:lang w:eastAsia="en-US"/>
              </w:rPr>
            </w:pPr>
            <w:r>
              <w:rPr>
                <w:bCs/>
                <w:sz w:val="16"/>
                <w:szCs w:val="16"/>
              </w:rPr>
              <w:t>Locação de Ambulância UTI Móvel Adulto.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FEFED0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3367BB">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single" w:color="auto" w:sz="4" w:space="0"/>
              <w:left w:val="single" w:color="auto" w:sz="4" w:space="0"/>
              <w:bottom w:val="single" w:color="auto" w:sz="4" w:space="0"/>
              <w:right w:val="single" w:color="auto" w:sz="4" w:space="0"/>
            </w:tcBorders>
          </w:tcPr>
          <w:p w14:paraId="3EF6FA5D">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0F0E0D17">
            <w:pPr>
              <w:spacing w:line="240" w:lineRule="auto"/>
              <w:jc w:val="center"/>
              <w:rPr>
                <w:rFonts w:ascii="Arial" w:hAnsi="Arial" w:cs="Arial"/>
                <w:kern w:val="2"/>
                <w:sz w:val="16"/>
                <w:szCs w:val="16"/>
                <w:shd w:val="clear" w:color="auto" w:fill="FFFFFF"/>
              </w:rPr>
            </w:pPr>
          </w:p>
        </w:tc>
      </w:tr>
      <w:tr w14:paraId="7F28555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08EA6E0">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546C76CE">
            <w:pPr>
              <w:pStyle w:val="219"/>
              <w:spacing w:after="0" w:line="276" w:lineRule="auto"/>
              <w:jc w:val="both"/>
              <w:rPr>
                <w:rFonts w:ascii="Arial" w:hAnsi="Arial" w:cs="Arial"/>
                <w:color w:val="000000"/>
                <w:sz w:val="16"/>
                <w:szCs w:val="16"/>
              </w:rPr>
            </w:pPr>
            <w:r>
              <w:rPr>
                <w:bCs/>
                <w:sz w:val="16"/>
                <w:szCs w:val="16"/>
              </w:rPr>
              <w:t>Locação de Ambulância UTI Neonatal. Baixa Complexidade: o paciente será removido com o acompanhamento do médico, porém não estará entubado.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5585AEB">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91E33">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729343F7">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6A389F0B">
            <w:pPr>
              <w:spacing w:line="240" w:lineRule="auto"/>
              <w:jc w:val="center"/>
              <w:rPr>
                <w:rFonts w:ascii="Arial" w:hAnsi="Arial" w:cs="Arial"/>
                <w:kern w:val="2"/>
                <w:sz w:val="16"/>
                <w:szCs w:val="16"/>
                <w:shd w:val="clear" w:color="auto" w:fill="FFFFFF"/>
              </w:rPr>
            </w:pPr>
          </w:p>
        </w:tc>
      </w:tr>
      <w:tr w14:paraId="367B0C1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94ED56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4BD29083">
            <w:pPr>
              <w:pStyle w:val="219"/>
              <w:spacing w:after="0" w:line="276" w:lineRule="auto"/>
              <w:jc w:val="both"/>
              <w:rPr>
                <w:rFonts w:ascii="Arial" w:hAnsi="Arial" w:cs="Arial"/>
                <w:color w:val="000000"/>
                <w:sz w:val="16"/>
                <w:szCs w:val="16"/>
              </w:rPr>
            </w:pPr>
            <w:r>
              <w:rPr>
                <w:bCs/>
                <w:sz w:val="16"/>
                <w:szCs w:val="16"/>
              </w:rPr>
              <w:t>Locação de Ambulância UTI Neonatal.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7B4FA0A5">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BF360">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568F3159">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30005EE0">
            <w:pPr>
              <w:spacing w:line="240" w:lineRule="auto"/>
              <w:jc w:val="center"/>
              <w:rPr>
                <w:rFonts w:ascii="Arial" w:hAnsi="Arial" w:cs="Arial"/>
                <w:kern w:val="2"/>
                <w:sz w:val="16"/>
                <w:szCs w:val="16"/>
                <w:shd w:val="clear" w:color="auto" w:fill="FFFFFF"/>
              </w:rPr>
            </w:pPr>
          </w:p>
        </w:tc>
      </w:tr>
      <w:tr w14:paraId="1B0A4390">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155203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 (5)</w:t>
            </w:r>
            <w:bookmarkStart w:id="41" w:name="_GoBack"/>
            <w:bookmarkEnd w:id="41"/>
          </w:p>
        </w:tc>
        <w:tc>
          <w:tcPr>
            <w:tcW w:w="4820" w:type="dxa"/>
            <w:tcBorders>
              <w:top w:val="single" w:color="auto" w:sz="4" w:space="0"/>
              <w:left w:val="nil"/>
              <w:bottom w:val="single" w:color="auto" w:sz="4" w:space="0"/>
              <w:right w:val="single" w:color="auto" w:sz="4" w:space="0"/>
            </w:tcBorders>
            <w:shd w:val="clear" w:color="auto" w:fill="auto"/>
            <w:noWrap/>
            <w:vAlign w:val="top"/>
          </w:tcPr>
          <w:p w14:paraId="7978229B">
            <w:pPr>
              <w:pStyle w:val="219"/>
              <w:spacing w:after="0" w:line="276" w:lineRule="auto"/>
              <w:jc w:val="both"/>
              <w:rPr>
                <w:rFonts w:ascii="Arial" w:hAnsi="Arial" w:cs="Arial"/>
                <w:color w:val="000000"/>
                <w:sz w:val="16"/>
                <w:szCs w:val="16"/>
              </w:rPr>
            </w:pPr>
            <w:r>
              <w:rPr>
                <w:bCs/>
                <w:sz w:val="16"/>
                <w:szCs w:val="16"/>
              </w:rPr>
              <w:t>Locação de Ambulância UTI Móvel Adulto. Alta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60E66DE0">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494E2F">
            <w:pPr>
              <w:spacing w:after="0" w:line="240" w:lineRule="auto"/>
              <w:jc w:val="center"/>
              <w:rPr>
                <w:rFonts w:ascii="Arial" w:hAnsi="Arial" w:eastAsia="Times New Roman" w:cs="Arial"/>
                <w:bCs/>
                <w:sz w:val="16"/>
                <w:szCs w:val="16"/>
                <w:lang w:val="pt-BR" w:eastAsia="pt-BR" w:bidi="ar-SA"/>
              </w:rPr>
            </w:pPr>
            <w:r>
              <w:rPr>
                <w:rFonts w:hint="default" w:ascii="Arial" w:hAnsi="Arial" w:cs="Arial"/>
                <w:bCs/>
                <w:sz w:val="16"/>
                <w:szCs w:val="16"/>
                <w:lang w:val="pt-BR"/>
              </w:rPr>
              <w:t>2</w:t>
            </w:r>
            <w:r>
              <w:rPr>
                <w:rFonts w:ascii="Arial" w:hAnsi="Arial" w:cs="Arial"/>
                <w:bCs/>
                <w:sz w:val="16"/>
                <w:szCs w:val="16"/>
              </w:rPr>
              <w:t>00 hs</w:t>
            </w:r>
          </w:p>
        </w:tc>
        <w:tc>
          <w:tcPr>
            <w:tcW w:w="1431" w:type="dxa"/>
            <w:tcBorders>
              <w:top w:val="single" w:color="auto" w:sz="4" w:space="0"/>
              <w:left w:val="single" w:color="auto" w:sz="4" w:space="0"/>
              <w:bottom w:val="single" w:color="auto" w:sz="4" w:space="0"/>
              <w:right w:val="single" w:color="auto" w:sz="4" w:space="0"/>
            </w:tcBorders>
          </w:tcPr>
          <w:p w14:paraId="5C82B87A">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7DC14E93">
            <w:pPr>
              <w:spacing w:line="240" w:lineRule="auto"/>
              <w:jc w:val="center"/>
              <w:rPr>
                <w:rFonts w:ascii="Arial" w:hAnsi="Arial" w:cs="Arial"/>
                <w:kern w:val="2"/>
                <w:sz w:val="16"/>
                <w:szCs w:val="16"/>
                <w:shd w:val="clear" w:color="auto" w:fill="FFFFFF"/>
              </w:rPr>
            </w:pPr>
          </w:p>
        </w:tc>
      </w:tr>
      <w:tr w14:paraId="08047EBE">
        <w:tblPrEx>
          <w:tblCellMar>
            <w:top w:w="0" w:type="dxa"/>
            <w:left w:w="70" w:type="dxa"/>
            <w:bottom w:w="0" w:type="dxa"/>
            <w:right w:w="70" w:type="dxa"/>
          </w:tblCellMar>
        </w:tblPrEx>
        <w:trPr>
          <w:trHeight w:val="324" w:hRule="atLeast"/>
          <w:jc w:val="center"/>
        </w:trPr>
        <w:tc>
          <w:tcPr>
            <w:tcW w:w="8422" w:type="dxa"/>
            <w:gridSpan w:val="5"/>
            <w:tcBorders>
              <w:top w:val="single" w:color="auto" w:sz="4" w:space="0"/>
              <w:left w:val="single" w:color="auto" w:sz="4" w:space="0"/>
              <w:bottom w:val="single" w:color="auto" w:sz="4" w:space="0"/>
              <w:right w:val="single" w:color="auto" w:sz="4" w:space="0"/>
            </w:tcBorders>
            <w:noWrap/>
            <w:vAlign w:val="center"/>
          </w:tcPr>
          <w:p w14:paraId="0D5F15D7">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460" w:type="dxa"/>
            <w:tcBorders>
              <w:top w:val="single" w:color="auto" w:sz="4" w:space="0"/>
              <w:left w:val="single" w:color="auto" w:sz="4" w:space="0"/>
              <w:bottom w:val="single" w:color="auto" w:sz="4" w:space="0"/>
              <w:right w:val="single" w:color="auto" w:sz="4" w:space="0"/>
            </w:tcBorders>
            <w:noWrap/>
            <w:vAlign w:val="center"/>
          </w:tcPr>
          <w:p w14:paraId="5CD62159">
            <w:pPr>
              <w:spacing w:line="240" w:lineRule="auto"/>
              <w:jc w:val="center"/>
              <w:rPr>
                <w:rFonts w:ascii="Arial" w:hAnsi="Arial" w:cs="Arial"/>
                <w:kern w:val="2"/>
                <w:sz w:val="16"/>
                <w:szCs w:val="16"/>
                <w:shd w:val="clear" w:color="auto" w:fill="FFFFFF"/>
              </w:rPr>
            </w:pPr>
          </w:p>
        </w:tc>
      </w:tr>
    </w:tbl>
    <w:p w14:paraId="026E7F7D">
      <w:pPr>
        <w:spacing w:line="276" w:lineRule="auto"/>
        <w:rPr>
          <w:rFonts w:ascii="Arial" w:hAnsi="Arial" w:cs="Arial"/>
          <w:sz w:val="18"/>
          <w:szCs w:val="18"/>
        </w:rPr>
      </w:pPr>
    </w:p>
    <w:p w14:paraId="0A9E03DD">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7EA2334B">
      <w:pPr>
        <w:jc w:val="center"/>
        <w:rPr>
          <w:rFonts w:ascii="Arial" w:hAnsi="Arial" w:cs="Arial"/>
          <w:b/>
          <w:bCs/>
          <w:sz w:val="32"/>
          <w:szCs w:val="32"/>
        </w:rPr>
      </w:pPr>
    </w:p>
    <w:p w14:paraId="2629329B">
      <w:pPr>
        <w:jc w:val="center"/>
        <w:rPr>
          <w:rFonts w:ascii="Arial" w:hAnsi="Arial" w:cs="Arial"/>
          <w:b/>
          <w:bCs/>
          <w:sz w:val="32"/>
          <w:szCs w:val="32"/>
        </w:rPr>
      </w:pPr>
    </w:p>
    <w:p w14:paraId="4A706509">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072/2025</w:t>
      </w:r>
      <w:r>
        <w:rPr>
          <w:rFonts w:hint="default" w:ascii="Arial" w:hAnsi="Arial" w:cs="Arial"/>
          <w:sz w:val="17"/>
          <w:szCs w:val="17"/>
        </w:rPr>
        <w:t xml:space="preserve">, Processo Administrativo n.º </w:t>
      </w:r>
      <w:r>
        <w:rPr>
          <w:rFonts w:hint="default" w:ascii="Arial" w:hAnsi="Arial" w:cs="Arial"/>
          <w:sz w:val="17"/>
          <w:szCs w:val="17"/>
          <w:lang w:val="pt-BR"/>
        </w:rPr>
        <w:t>158/2025</w:t>
      </w:r>
      <w:r>
        <w:rPr>
          <w:rFonts w:hint="default" w:ascii="Arial" w:hAnsi="Arial" w:cs="Arial"/>
          <w:sz w:val="17"/>
          <w:szCs w:val="17"/>
        </w:rPr>
        <w:t xml:space="preserve">, Pregão Eletrônico n° </w:t>
      </w:r>
      <w:r>
        <w:rPr>
          <w:rFonts w:hint="default" w:ascii="Arial" w:hAnsi="Arial" w:cs="Arial"/>
          <w:sz w:val="17"/>
          <w:szCs w:val="17"/>
          <w:lang w:val="pt-BR"/>
        </w:rPr>
        <w:t>073/2025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7"/>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prestação de serviços de locação de ambulância de UTI Adulto e Neonatal para atendimento a transferências de pacientes do SUS e eventos para atender as demandas da Secretaria Municipal de Saúde da Prefeitura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9882" w:type="dxa"/>
        <w:jc w:val="center"/>
        <w:tblLayout w:type="fixed"/>
        <w:tblCellMar>
          <w:top w:w="0" w:type="dxa"/>
          <w:left w:w="70" w:type="dxa"/>
          <w:bottom w:w="0" w:type="dxa"/>
          <w:right w:w="70" w:type="dxa"/>
        </w:tblCellMar>
      </w:tblPr>
      <w:tblGrid>
        <w:gridCol w:w="567"/>
        <w:gridCol w:w="4820"/>
        <w:gridCol w:w="567"/>
        <w:gridCol w:w="1037"/>
        <w:gridCol w:w="1431"/>
        <w:gridCol w:w="1460"/>
      </w:tblGrid>
      <w:tr w14:paraId="3F1822FB">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57F82E49">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693277AF">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37331962">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40FC4CD8">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431" w:type="dxa"/>
            <w:tcBorders>
              <w:top w:val="single" w:color="auto" w:sz="4" w:space="0"/>
              <w:left w:val="single" w:color="auto" w:sz="4" w:space="0"/>
              <w:bottom w:val="single" w:color="auto" w:sz="4" w:space="0"/>
              <w:right w:val="single" w:color="auto" w:sz="4" w:space="0"/>
            </w:tcBorders>
          </w:tcPr>
          <w:p w14:paraId="6DCBC42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460" w:type="dxa"/>
            <w:tcBorders>
              <w:top w:val="single" w:color="auto" w:sz="4" w:space="0"/>
              <w:left w:val="single" w:color="auto" w:sz="4" w:space="0"/>
              <w:bottom w:val="single" w:color="auto" w:sz="4" w:space="0"/>
              <w:right w:val="single" w:color="auto" w:sz="4" w:space="0"/>
            </w:tcBorders>
          </w:tcPr>
          <w:p w14:paraId="6334613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6E5FD09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30EAAD5">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14A750FE">
            <w:pPr>
              <w:pStyle w:val="219"/>
              <w:spacing w:after="0" w:line="276" w:lineRule="auto"/>
              <w:jc w:val="both"/>
              <w:rPr>
                <w:rFonts w:ascii="Arial" w:hAnsi="Arial" w:cs="Arial"/>
                <w:b/>
                <w:bCs/>
                <w:kern w:val="2"/>
                <w:sz w:val="16"/>
                <w:szCs w:val="16"/>
                <w:shd w:val="clear" w:color="auto" w:fill="FFFFFF"/>
                <w:lang w:eastAsia="en-US"/>
              </w:rPr>
            </w:pPr>
            <w:r>
              <w:rPr>
                <w:bCs/>
                <w:sz w:val="16"/>
                <w:szCs w:val="16"/>
              </w:rPr>
              <w:t xml:space="preserve">Locação de Ambulância UTI Móvel Adulto. Baixa Complexidade: o paciente será removido com o acompanhamento do médico, porém não estará entubado. </w:t>
            </w:r>
          </w:p>
        </w:tc>
        <w:tc>
          <w:tcPr>
            <w:tcW w:w="567" w:type="dxa"/>
            <w:tcBorders>
              <w:top w:val="nil"/>
              <w:left w:val="nil"/>
              <w:bottom w:val="single" w:color="auto" w:sz="4" w:space="0"/>
              <w:right w:val="single" w:color="auto" w:sz="4" w:space="0"/>
            </w:tcBorders>
            <w:shd w:val="clear" w:color="auto" w:fill="auto"/>
            <w:noWrap/>
            <w:vAlign w:val="center"/>
          </w:tcPr>
          <w:p w14:paraId="6A980370">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F8436B3">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nil"/>
              <w:left w:val="single" w:color="auto" w:sz="4" w:space="0"/>
              <w:bottom w:val="single" w:color="auto" w:sz="4" w:space="0"/>
              <w:right w:val="single" w:color="auto" w:sz="4" w:space="0"/>
            </w:tcBorders>
          </w:tcPr>
          <w:p w14:paraId="68F8DAC4">
            <w:pPr>
              <w:wordWrap w:val="0"/>
              <w:spacing w:after="0" w:line="240" w:lineRule="auto"/>
              <w:jc w:val="center"/>
              <w:rPr>
                <w:rFonts w:ascii="Arial" w:hAnsi="Arial" w:cs="Arial"/>
                <w:kern w:val="2"/>
                <w:sz w:val="16"/>
                <w:szCs w:val="16"/>
              </w:rPr>
            </w:pPr>
          </w:p>
        </w:tc>
        <w:tc>
          <w:tcPr>
            <w:tcW w:w="1460" w:type="dxa"/>
            <w:tcBorders>
              <w:top w:val="nil"/>
              <w:left w:val="single" w:color="auto" w:sz="4" w:space="0"/>
              <w:bottom w:val="single" w:color="auto" w:sz="4" w:space="0"/>
              <w:right w:val="single" w:color="auto" w:sz="4" w:space="0"/>
            </w:tcBorders>
          </w:tcPr>
          <w:p w14:paraId="2F4A98B1">
            <w:pPr>
              <w:wordWrap w:val="0"/>
              <w:spacing w:after="0" w:line="240" w:lineRule="auto"/>
              <w:jc w:val="center"/>
              <w:rPr>
                <w:rFonts w:ascii="Arial" w:hAnsi="Arial" w:cs="Arial"/>
                <w:kern w:val="2"/>
                <w:sz w:val="16"/>
                <w:szCs w:val="16"/>
              </w:rPr>
            </w:pPr>
          </w:p>
        </w:tc>
      </w:tr>
      <w:tr w14:paraId="4DBDD403">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59376DC">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4B17D5AA">
            <w:pPr>
              <w:pStyle w:val="219"/>
              <w:spacing w:after="0" w:line="276" w:lineRule="auto"/>
              <w:jc w:val="both"/>
              <w:rPr>
                <w:rFonts w:ascii="Arial" w:hAnsi="Arial" w:cs="Arial"/>
                <w:b/>
                <w:bCs/>
                <w:kern w:val="2"/>
                <w:sz w:val="16"/>
                <w:szCs w:val="16"/>
                <w:shd w:val="clear" w:color="auto" w:fill="FFFFFF"/>
                <w:lang w:eastAsia="en-US"/>
              </w:rPr>
            </w:pPr>
            <w:r>
              <w:rPr>
                <w:bCs/>
                <w:sz w:val="16"/>
                <w:szCs w:val="16"/>
              </w:rPr>
              <w:t>Locação de Ambulância UTI Móvel Adulto.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EF7D6B2">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0E5AC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15.000 Km</w:t>
            </w:r>
          </w:p>
        </w:tc>
        <w:tc>
          <w:tcPr>
            <w:tcW w:w="1431" w:type="dxa"/>
            <w:tcBorders>
              <w:top w:val="single" w:color="auto" w:sz="4" w:space="0"/>
              <w:left w:val="single" w:color="auto" w:sz="4" w:space="0"/>
              <w:bottom w:val="single" w:color="auto" w:sz="4" w:space="0"/>
              <w:right w:val="single" w:color="auto" w:sz="4" w:space="0"/>
            </w:tcBorders>
          </w:tcPr>
          <w:p w14:paraId="26745CDB">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79E75798">
            <w:pPr>
              <w:spacing w:line="240" w:lineRule="auto"/>
              <w:jc w:val="center"/>
              <w:rPr>
                <w:rFonts w:ascii="Arial" w:hAnsi="Arial" w:cs="Arial"/>
                <w:kern w:val="2"/>
                <w:sz w:val="16"/>
                <w:szCs w:val="16"/>
                <w:shd w:val="clear" w:color="auto" w:fill="FFFFFF"/>
              </w:rPr>
            </w:pPr>
          </w:p>
        </w:tc>
      </w:tr>
      <w:tr w14:paraId="3F1F9A56">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EADF80B">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07A45054">
            <w:pPr>
              <w:pStyle w:val="219"/>
              <w:spacing w:after="0" w:line="276" w:lineRule="auto"/>
              <w:jc w:val="both"/>
              <w:rPr>
                <w:rFonts w:ascii="Arial" w:hAnsi="Arial" w:cs="Arial"/>
                <w:color w:val="000000"/>
                <w:sz w:val="16"/>
                <w:szCs w:val="16"/>
              </w:rPr>
            </w:pPr>
            <w:r>
              <w:rPr>
                <w:bCs/>
                <w:sz w:val="16"/>
                <w:szCs w:val="16"/>
              </w:rPr>
              <w:t>Locação de Ambulância UTI Neonatal. Baixa Complexidade: o paciente será removido com o acompanhamento do médico, porém não estará entubado.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4C56738">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912CDA">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3884F2FD">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6E0F2271">
            <w:pPr>
              <w:spacing w:line="240" w:lineRule="auto"/>
              <w:jc w:val="center"/>
              <w:rPr>
                <w:rFonts w:ascii="Arial" w:hAnsi="Arial" w:cs="Arial"/>
                <w:kern w:val="2"/>
                <w:sz w:val="16"/>
                <w:szCs w:val="16"/>
                <w:shd w:val="clear" w:color="auto" w:fill="FFFFFF"/>
              </w:rPr>
            </w:pPr>
          </w:p>
        </w:tc>
      </w:tr>
      <w:tr w14:paraId="4F9B0B5F">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07972B0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736A050B">
            <w:pPr>
              <w:pStyle w:val="219"/>
              <w:spacing w:after="0" w:line="276" w:lineRule="auto"/>
              <w:jc w:val="both"/>
              <w:rPr>
                <w:rFonts w:ascii="Arial" w:hAnsi="Arial" w:cs="Arial"/>
                <w:color w:val="000000"/>
                <w:sz w:val="16"/>
                <w:szCs w:val="16"/>
              </w:rPr>
            </w:pPr>
            <w:r>
              <w:rPr>
                <w:bCs/>
                <w:sz w:val="16"/>
                <w:szCs w:val="16"/>
              </w:rPr>
              <w:t>Locação de Ambulância UTI Neonatal.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E67A8F4">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00BBB1">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5.000 Km</w:t>
            </w:r>
          </w:p>
        </w:tc>
        <w:tc>
          <w:tcPr>
            <w:tcW w:w="1431" w:type="dxa"/>
            <w:tcBorders>
              <w:top w:val="single" w:color="auto" w:sz="4" w:space="0"/>
              <w:left w:val="single" w:color="auto" w:sz="4" w:space="0"/>
              <w:bottom w:val="single" w:color="auto" w:sz="4" w:space="0"/>
              <w:right w:val="single" w:color="auto" w:sz="4" w:space="0"/>
            </w:tcBorders>
          </w:tcPr>
          <w:p w14:paraId="40BE1644">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34F19D16">
            <w:pPr>
              <w:spacing w:line="240" w:lineRule="auto"/>
              <w:jc w:val="center"/>
              <w:rPr>
                <w:rFonts w:ascii="Arial" w:hAnsi="Arial" w:cs="Arial"/>
                <w:kern w:val="2"/>
                <w:sz w:val="16"/>
                <w:szCs w:val="16"/>
                <w:shd w:val="clear" w:color="auto" w:fill="FFFFFF"/>
              </w:rPr>
            </w:pPr>
          </w:p>
        </w:tc>
      </w:tr>
      <w:tr w14:paraId="3373DDBA">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79EB585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10029B4C">
            <w:pPr>
              <w:pStyle w:val="219"/>
              <w:spacing w:after="0" w:line="276" w:lineRule="auto"/>
              <w:jc w:val="both"/>
              <w:rPr>
                <w:rFonts w:ascii="Arial" w:hAnsi="Arial" w:cs="Arial"/>
                <w:color w:val="000000"/>
                <w:sz w:val="16"/>
                <w:szCs w:val="16"/>
              </w:rPr>
            </w:pPr>
            <w:r>
              <w:rPr>
                <w:bCs/>
                <w:sz w:val="16"/>
                <w:szCs w:val="16"/>
              </w:rPr>
              <w:t>Locação de Ambulância UTI Móvel Adulto. Alta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B7B1EA2">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E392C7">
            <w:pPr>
              <w:spacing w:after="0" w:line="240" w:lineRule="auto"/>
              <w:jc w:val="center"/>
              <w:rPr>
                <w:rFonts w:ascii="Arial" w:hAnsi="Arial" w:eastAsia="Times New Roman" w:cs="Arial"/>
                <w:bCs/>
                <w:sz w:val="16"/>
                <w:szCs w:val="16"/>
                <w:lang w:val="pt-BR" w:eastAsia="pt-BR" w:bidi="ar-SA"/>
              </w:rPr>
            </w:pPr>
            <w:r>
              <w:rPr>
                <w:rFonts w:hint="default" w:ascii="Arial" w:hAnsi="Arial" w:cs="Arial"/>
                <w:bCs/>
                <w:sz w:val="16"/>
                <w:szCs w:val="16"/>
                <w:lang w:val="pt-BR"/>
              </w:rPr>
              <w:t>2</w:t>
            </w:r>
            <w:r>
              <w:rPr>
                <w:rFonts w:ascii="Arial" w:hAnsi="Arial" w:cs="Arial"/>
                <w:bCs/>
                <w:sz w:val="16"/>
                <w:szCs w:val="16"/>
              </w:rPr>
              <w:t>00 hs</w:t>
            </w:r>
          </w:p>
        </w:tc>
        <w:tc>
          <w:tcPr>
            <w:tcW w:w="1431" w:type="dxa"/>
            <w:tcBorders>
              <w:top w:val="single" w:color="auto" w:sz="4" w:space="0"/>
              <w:left w:val="single" w:color="auto" w:sz="4" w:space="0"/>
              <w:bottom w:val="single" w:color="auto" w:sz="4" w:space="0"/>
              <w:right w:val="single" w:color="auto" w:sz="4" w:space="0"/>
            </w:tcBorders>
          </w:tcPr>
          <w:p w14:paraId="76A41548">
            <w:pPr>
              <w:spacing w:line="240" w:lineRule="auto"/>
              <w:jc w:val="center"/>
              <w:rPr>
                <w:rFonts w:ascii="Arial" w:hAnsi="Arial" w:cs="Arial"/>
                <w:kern w:val="2"/>
                <w:sz w:val="16"/>
                <w:szCs w:val="16"/>
                <w:shd w:val="clear" w:color="auto" w:fill="FFFFFF"/>
              </w:rPr>
            </w:pPr>
          </w:p>
        </w:tc>
        <w:tc>
          <w:tcPr>
            <w:tcW w:w="1460" w:type="dxa"/>
            <w:tcBorders>
              <w:top w:val="single" w:color="auto" w:sz="4" w:space="0"/>
              <w:left w:val="single" w:color="auto" w:sz="4" w:space="0"/>
              <w:bottom w:val="single" w:color="auto" w:sz="4" w:space="0"/>
              <w:right w:val="single" w:color="auto" w:sz="4" w:space="0"/>
            </w:tcBorders>
          </w:tcPr>
          <w:p w14:paraId="1071C96E">
            <w:pPr>
              <w:spacing w:line="240" w:lineRule="auto"/>
              <w:jc w:val="center"/>
              <w:rPr>
                <w:rFonts w:ascii="Arial" w:hAnsi="Arial" w:cs="Arial"/>
                <w:kern w:val="2"/>
                <w:sz w:val="16"/>
                <w:szCs w:val="16"/>
                <w:shd w:val="clear" w:color="auto" w:fill="FFFFFF"/>
              </w:rPr>
            </w:pPr>
          </w:p>
        </w:tc>
      </w:tr>
      <w:tr w14:paraId="274DB200">
        <w:tblPrEx>
          <w:tblCellMar>
            <w:top w:w="0" w:type="dxa"/>
            <w:left w:w="70" w:type="dxa"/>
            <w:bottom w:w="0" w:type="dxa"/>
            <w:right w:w="70" w:type="dxa"/>
          </w:tblCellMar>
        </w:tblPrEx>
        <w:trPr>
          <w:trHeight w:val="324" w:hRule="atLeast"/>
          <w:jc w:val="center"/>
        </w:trPr>
        <w:tc>
          <w:tcPr>
            <w:tcW w:w="8422" w:type="dxa"/>
            <w:gridSpan w:val="5"/>
            <w:tcBorders>
              <w:top w:val="single" w:color="auto" w:sz="4" w:space="0"/>
              <w:left w:val="single" w:color="auto" w:sz="4" w:space="0"/>
              <w:bottom w:val="single" w:color="auto" w:sz="4" w:space="0"/>
              <w:right w:val="single" w:color="auto" w:sz="4" w:space="0"/>
            </w:tcBorders>
            <w:noWrap/>
            <w:vAlign w:val="center"/>
          </w:tcPr>
          <w:p w14:paraId="27BAF90C">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460" w:type="dxa"/>
            <w:tcBorders>
              <w:top w:val="single" w:color="auto" w:sz="4" w:space="0"/>
              <w:left w:val="single" w:color="auto" w:sz="4" w:space="0"/>
              <w:bottom w:val="single" w:color="auto" w:sz="4" w:space="0"/>
              <w:right w:val="single" w:color="auto" w:sz="4" w:space="0"/>
            </w:tcBorders>
            <w:noWrap/>
            <w:vAlign w:val="center"/>
          </w:tcPr>
          <w:p w14:paraId="7E932872">
            <w:pPr>
              <w:spacing w:line="240" w:lineRule="auto"/>
              <w:jc w:val="center"/>
              <w:rPr>
                <w:rFonts w:ascii="Arial" w:hAnsi="Arial" w:cs="Arial"/>
                <w:kern w:val="2"/>
                <w:sz w:val="16"/>
                <w:szCs w:val="16"/>
                <w:shd w:val="clear" w:color="auto" w:fill="FFFFFF"/>
              </w:rPr>
            </w:pPr>
          </w:p>
        </w:tc>
      </w:tr>
    </w:tbl>
    <w:p w14:paraId="67B1AE51">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694D08FA">
      <w:pPr>
        <w:pStyle w:val="220"/>
        <w:numPr>
          <w:ilvl w:val="0"/>
          <w:numId w:val="0"/>
        </w:numPr>
        <w:spacing w:line="240" w:lineRule="auto"/>
        <w:ind w:leftChars="0"/>
        <w:jc w:val="both"/>
        <w:rPr>
          <w:rFonts w:hint="default" w:ascii="Arial" w:hAnsi="Arial" w:cs="Arial"/>
          <w:sz w:val="17"/>
          <w:szCs w:val="17"/>
        </w:rPr>
      </w:pPr>
    </w:p>
    <w:p w14:paraId="54D61499">
      <w:pPr>
        <w:pStyle w:val="220"/>
        <w:numPr>
          <w:ilvl w:val="1"/>
          <w:numId w:val="27"/>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p>
    <w:p w14:paraId="6A790DC5">
      <w:pPr>
        <w:pStyle w:val="220"/>
        <w:numPr>
          <w:ilvl w:val="0"/>
          <w:numId w:val="0"/>
        </w:numPr>
        <w:spacing w:line="240" w:lineRule="auto"/>
        <w:ind w:leftChars="0"/>
        <w:jc w:val="both"/>
        <w:rPr>
          <w:rFonts w:hint="default" w:ascii="Arial" w:hAnsi="Arial" w:cs="Arial"/>
          <w:sz w:val="17"/>
          <w:szCs w:val="17"/>
        </w:rPr>
      </w:pPr>
    </w:p>
    <w:tbl>
      <w:tblPr>
        <w:tblStyle w:val="4"/>
        <w:tblpPr w:leftFromText="180" w:rightFromText="180" w:vertAnchor="text" w:horzAnchor="page" w:tblpXSpec="center" w:tblpY="33"/>
        <w:tblOverlap w:val="never"/>
        <w:tblW w:w="7186" w:type="dxa"/>
        <w:jc w:val="center"/>
        <w:tblLayout w:type="fixed"/>
        <w:tblCellMar>
          <w:top w:w="0" w:type="dxa"/>
          <w:left w:w="70" w:type="dxa"/>
          <w:bottom w:w="0" w:type="dxa"/>
          <w:right w:w="70" w:type="dxa"/>
        </w:tblCellMar>
      </w:tblPr>
      <w:tblGrid>
        <w:gridCol w:w="567"/>
        <w:gridCol w:w="4820"/>
        <w:gridCol w:w="567"/>
        <w:gridCol w:w="1232"/>
      </w:tblGrid>
      <w:tr w14:paraId="39463AF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C6CA6F5">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1E40BF77">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39E1930F">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232" w:type="dxa"/>
            <w:tcBorders>
              <w:top w:val="single" w:color="auto" w:sz="4" w:space="0"/>
              <w:left w:val="single" w:color="auto" w:sz="4" w:space="0"/>
              <w:bottom w:val="single" w:color="auto" w:sz="4" w:space="0"/>
              <w:right w:val="single" w:color="auto" w:sz="4" w:space="0"/>
            </w:tcBorders>
            <w:noWrap/>
            <w:vAlign w:val="center"/>
          </w:tcPr>
          <w:p w14:paraId="4F72B50F">
            <w:pPr>
              <w:spacing w:after="0" w:line="240" w:lineRule="auto"/>
              <w:jc w:val="center"/>
              <w:rPr>
                <w:rFonts w:hint="default" w:ascii="Arial" w:hAnsi="Arial" w:cs="Arial"/>
                <w:b/>
                <w:bCs/>
                <w:kern w:val="2"/>
                <w:sz w:val="16"/>
                <w:szCs w:val="16"/>
                <w:lang w:val="pt-BR"/>
              </w:rPr>
            </w:pPr>
            <w:r>
              <w:rPr>
                <w:rFonts w:ascii="Arial" w:hAnsi="Arial" w:cs="Arial"/>
                <w:b/>
                <w:bCs/>
                <w:kern w:val="2"/>
                <w:sz w:val="16"/>
                <w:szCs w:val="16"/>
              </w:rPr>
              <w:t>Qtd</w:t>
            </w:r>
            <w:r>
              <w:rPr>
                <w:rFonts w:hint="default" w:ascii="Arial" w:hAnsi="Arial" w:cs="Arial"/>
                <w:b/>
                <w:bCs/>
                <w:kern w:val="2"/>
                <w:sz w:val="16"/>
                <w:szCs w:val="16"/>
                <w:lang w:val="pt-BR"/>
              </w:rPr>
              <w:t>. Mínima</w:t>
            </w:r>
          </w:p>
        </w:tc>
      </w:tr>
      <w:tr w14:paraId="40CE81A5">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87066AA">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249C938F">
            <w:pPr>
              <w:pStyle w:val="219"/>
              <w:spacing w:after="0" w:line="276" w:lineRule="auto"/>
              <w:jc w:val="both"/>
              <w:rPr>
                <w:rFonts w:ascii="Arial" w:hAnsi="Arial" w:cs="Arial"/>
                <w:b/>
                <w:bCs/>
                <w:kern w:val="2"/>
                <w:sz w:val="16"/>
                <w:szCs w:val="16"/>
                <w:shd w:val="clear" w:color="auto" w:fill="FFFFFF"/>
                <w:lang w:eastAsia="en-US"/>
              </w:rPr>
            </w:pPr>
            <w:r>
              <w:rPr>
                <w:bCs/>
                <w:sz w:val="16"/>
                <w:szCs w:val="16"/>
              </w:rPr>
              <w:t xml:space="preserve">Locação de Ambulância UTI Móvel Adulto. Baixa Complexidade: o paciente será removido com o acompanhamento do médico, porém não estará entubado. </w:t>
            </w:r>
          </w:p>
        </w:tc>
        <w:tc>
          <w:tcPr>
            <w:tcW w:w="567" w:type="dxa"/>
            <w:tcBorders>
              <w:top w:val="nil"/>
              <w:left w:val="nil"/>
              <w:bottom w:val="single" w:color="auto" w:sz="4" w:space="0"/>
              <w:right w:val="single" w:color="auto" w:sz="4" w:space="0"/>
            </w:tcBorders>
            <w:shd w:val="clear" w:color="auto" w:fill="auto"/>
            <w:noWrap/>
            <w:vAlign w:val="center"/>
          </w:tcPr>
          <w:p w14:paraId="4152095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nil"/>
              <w:left w:val="single" w:color="auto" w:sz="4" w:space="0"/>
              <w:bottom w:val="single" w:color="auto" w:sz="4" w:space="0"/>
              <w:right w:val="single" w:color="auto" w:sz="4" w:space="0"/>
            </w:tcBorders>
            <w:shd w:val="clear" w:color="auto" w:fill="auto"/>
            <w:noWrap/>
            <w:vAlign w:val="center"/>
          </w:tcPr>
          <w:p w14:paraId="1558E73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Km</w:t>
            </w:r>
          </w:p>
        </w:tc>
      </w:tr>
      <w:tr w14:paraId="0E02B657">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1C53FBC">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273131E5">
            <w:pPr>
              <w:pStyle w:val="219"/>
              <w:spacing w:after="0" w:line="276" w:lineRule="auto"/>
              <w:jc w:val="both"/>
              <w:rPr>
                <w:rFonts w:ascii="Arial" w:hAnsi="Arial" w:cs="Arial"/>
                <w:b/>
                <w:bCs/>
                <w:kern w:val="2"/>
                <w:sz w:val="16"/>
                <w:szCs w:val="16"/>
                <w:shd w:val="clear" w:color="auto" w:fill="FFFFFF"/>
                <w:lang w:eastAsia="en-US"/>
              </w:rPr>
            </w:pPr>
            <w:r>
              <w:rPr>
                <w:bCs/>
                <w:sz w:val="16"/>
                <w:szCs w:val="16"/>
              </w:rPr>
              <w:t>Locação de Ambulância UTI Móvel Adulto.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7674B76">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5555D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 xml:space="preserve">10 Km </w:t>
            </w:r>
          </w:p>
        </w:tc>
      </w:tr>
      <w:tr w14:paraId="3C670580">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7B4D490">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20CFCB91">
            <w:pPr>
              <w:pStyle w:val="219"/>
              <w:spacing w:after="0" w:line="276" w:lineRule="auto"/>
              <w:jc w:val="both"/>
              <w:rPr>
                <w:rFonts w:ascii="Arial" w:hAnsi="Arial" w:cs="Arial"/>
                <w:color w:val="000000"/>
                <w:sz w:val="16"/>
                <w:szCs w:val="16"/>
              </w:rPr>
            </w:pPr>
            <w:r>
              <w:rPr>
                <w:bCs/>
                <w:sz w:val="16"/>
                <w:szCs w:val="16"/>
              </w:rPr>
              <w:t>Locação de Ambulância UTI Neonatal. Baixa Complexidade: o paciente será removido com o acompanhamento do médico, porém não estará entubado.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6B3F56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42412F">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Km</w:t>
            </w:r>
          </w:p>
        </w:tc>
      </w:tr>
      <w:tr w14:paraId="748C2B19">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79162B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5DB4C001">
            <w:pPr>
              <w:pStyle w:val="219"/>
              <w:spacing w:after="0" w:line="276" w:lineRule="auto"/>
              <w:jc w:val="both"/>
              <w:rPr>
                <w:rFonts w:ascii="Arial" w:hAnsi="Arial" w:cs="Arial"/>
                <w:color w:val="000000"/>
                <w:sz w:val="16"/>
                <w:szCs w:val="16"/>
              </w:rPr>
            </w:pPr>
            <w:r>
              <w:rPr>
                <w:bCs/>
                <w:sz w:val="16"/>
                <w:szCs w:val="16"/>
              </w:rPr>
              <w:t>Locação de Ambulância UTI Neonatal. Alta Complexidade: o paciente será removido com o acompanhamento médico, estando entubado e em uso de medicamento.</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2608C3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KM</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CA2E9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Km</w:t>
            </w:r>
          </w:p>
        </w:tc>
      </w:tr>
      <w:tr w14:paraId="378C4AF8">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999FDC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single" w:color="auto" w:sz="4" w:space="0"/>
              <w:left w:val="nil"/>
              <w:bottom w:val="single" w:color="auto" w:sz="4" w:space="0"/>
              <w:right w:val="single" w:color="auto" w:sz="4" w:space="0"/>
            </w:tcBorders>
            <w:shd w:val="clear" w:color="auto" w:fill="auto"/>
            <w:noWrap/>
            <w:vAlign w:val="top"/>
          </w:tcPr>
          <w:p w14:paraId="18C375A2">
            <w:pPr>
              <w:pStyle w:val="219"/>
              <w:spacing w:after="0" w:line="276" w:lineRule="auto"/>
              <w:jc w:val="both"/>
              <w:rPr>
                <w:rFonts w:ascii="Arial" w:hAnsi="Arial" w:cs="Arial"/>
                <w:color w:val="000000"/>
                <w:sz w:val="16"/>
                <w:szCs w:val="16"/>
              </w:rPr>
            </w:pPr>
            <w:r>
              <w:rPr>
                <w:bCs/>
                <w:sz w:val="16"/>
                <w:szCs w:val="16"/>
              </w:rPr>
              <w:t>Locação de Ambulância UTI Móvel Adulto. Alta Complexidade, para realização de eventos com exigência técnico operacional e/ou do corpo de bombeiros.</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2F0C193E">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H</w:t>
            </w: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117409">
            <w:pPr>
              <w:spacing w:after="0" w:line="240" w:lineRule="auto"/>
              <w:jc w:val="center"/>
              <w:rPr>
                <w:rFonts w:ascii="Arial" w:hAnsi="Arial" w:eastAsia="Times New Roman" w:cs="Arial"/>
                <w:bCs/>
                <w:sz w:val="16"/>
                <w:szCs w:val="16"/>
                <w:lang w:val="pt-BR" w:eastAsia="pt-BR" w:bidi="ar-SA"/>
              </w:rPr>
            </w:pPr>
            <w:r>
              <w:rPr>
                <w:rFonts w:ascii="Arial" w:hAnsi="Arial" w:cs="Arial"/>
                <w:bCs/>
                <w:sz w:val="16"/>
                <w:szCs w:val="16"/>
              </w:rPr>
              <w:t>10 hs</w:t>
            </w:r>
          </w:p>
        </w:tc>
      </w:tr>
    </w:tbl>
    <w:p w14:paraId="7BDA2892">
      <w:pPr>
        <w:pStyle w:val="220"/>
        <w:numPr>
          <w:ilvl w:val="0"/>
          <w:numId w:val="0"/>
        </w:numPr>
        <w:spacing w:line="240" w:lineRule="auto"/>
        <w:ind w:leftChars="0"/>
        <w:jc w:val="both"/>
        <w:rPr>
          <w:rFonts w:hint="default" w:ascii="Arial" w:hAnsi="Arial" w:cs="Arial"/>
          <w:sz w:val="17"/>
          <w:szCs w:val="17"/>
        </w:rPr>
      </w:pPr>
    </w:p>
    <w:p w14:paraId="101B4EC1">
      <w:pPr>
        <w:pStyle w:val="220"/>
        <w:numPr>
          <w:ilvl w:val="0"/>
          <w:numId w:val="0"/>
        </w:numPr>
        <w:spacing w:line="240" w:lineRule="auto"/>
        <w:ind w:leftChars="0"/>
        <w:jc w:val="both"/>
        <w:rPr>
          <w:rFonts w:hint="default" w:ascii="Arial" w:hAnsi="Arial" w:cs="Arial"/>
          <w:sz w:val="17"/>
          <w:szCs w:val="17"/>
        </w:rPr>
      </w:pPr>
    </w:p>
    <w:p w14:paraId="119FBACF">
      <w:pPr>
        <w:pStyle w:val="220"/>
        <w:numPr>
          <w:ilvl w:val="0"/>
          <w:numId w:val="0"/>
        </w:numPr>
        <w:spacing w:line="240" w:lineRule="auto"/>
        <w:ind w:leftChars="0"/>
        <w:jc w:val="both"/>
        <w:rPr>
          <w:rFonts w:hint="default" w:ascii="Arial" w:hAnsi="Arial" w:cs="Arial"/>
          <w:sz w:val="17"/>
          <w:szCs w:val="17"/>
        </w:rPr>
      </w:pPr>
    </w:p>
    <w:p w14:paraId="3CB06B9B">
      <w:pPr>
        <w:pStyle w:val="220"/>
        <w:numPr>
          <w:ilvl w:val="0"/>
          <w:numId w:val="0"/>
        </w:numPr>
        <w:spacing w:line="240" w:lineRule="auto"/>
        <w:ind w:leftChars="0"/>
        <w:jc w:val="both"/>
        <w:rPr>
          <w:rFonts w:hint="default" w:ascii="Arial" w:hAnsi="Arial" w:cs="Arial"/>
          <w:sz w:val="17"/>
          <w:szCs w:val="17"/>
        </w:rPr>
      </w:pPr>
    </w:p>
    <w:p w14:paraId="318CB6C5">
      <w:pPr>
        <w:pStyle w:val="220"/>
        <w:numPr>
          <w:ilvl w:val="0"/>
          <w:numId w:val="0"/>
        </w:numPr>
        <w:spacing w:line="240" w:lineRule="auto"/>
        <w:ind w:leftChars="0"/>
        <w:jc w:val="both"/>
        <w:rPr>
          <w:rFonts w:hint="default" w:ascii="Arial" w:hAnsi="Arial" w:cs="Arial"/>
          <w:sz w:val="17"/>
          <w:szCs w:val="17"/>
        </w:rPr>
      </w:pPr>
    </w:p>
    <w:p w14:paraId="2076E9A9">
      <w:pPr>
        <w:pStyle w:val="220"/>
        <w:numPr>
          <w:ilvl w:val="0"/>
          <w:numId w:val="0"/>
        </w:numPr>
        <w:spacing w:line="240" w:lineRule="auto"/>
        <w:ind w:leftChars="0"/>
        <w:jc w:val="both"/>
        <w:rPr>
          <w:rFonts w:hint="default" w:ascii="Arial" w:hAnsi="Arial" w:cs="Arial"/>
          <w:sz w:val="17"/>
          <w:szCs w:val="17"/>
        </w:rPr>
      </w:pPr>
    </w:p>
    <w:p w14:paraId="18E74883">
      <w:pPr>
        <w:pStyle w:val="220"/>
        <w:numPr>
          <w:ilvl w:val="0"/>
          <w:numId w:val="0"/>
        </w:numPr>
        <w:spacing w:line="240" w:lineRule="auto"/>
        <w:ind w:leftChars="0"/>
        <w:jc w:val="both"/>
        <w:rPr>
          <w:rFonts w:hint="default" w:ascii="Arial" w:hAnsi="Arial" w:cs="Arial"/>
          <w:sz w:val="17"/>
          <w:szCs w:val="17"/>
        </w:rPr>
      </w:pPr>
    </w:p>
    <w:p w14:paraId="2E58005F">
      <w:pPr>
        <w:pStyle w:val="220"/>
        <w:numPr>
          <w:ilvl w:val="0"/>
          <w:numId w:val="0"/>
        </w:numPr>
        <w:spacing w:line="240" w:lineRule="auto"/>
        <w:ind w:leftChars="0"/>
        <w:jc w:val="both"/>
        <w:rPr>
          <w:rFonts w:hint="default" w:ascii="Arial" w:hAnsi="Arial" w:cs="Arial"/>
          <w:sz w:val="17"/>
          <w:szCs w:val="17"/>
        </w:rPr>
      </w:pPr>
    </w:p>
    <w:p w14:paraId="40610DB6">
      <w:pPr>
        <w:pStyle w:val="220"/>
        <w:numPr>
          <w:ilvl w:val="0"/>
          <w:numId w:val="0"/>
        </w:numPr>
        <w:spacing w:line="240" w:lineRule="auto"/>
        <w:ind w:leftChars="0"/>
        <w:jc w:val="both"/>
        <w:rPr>
          <w:rFonts w:hint="default" w:ascii="Arial" w:hAnsi="Arial" w:cs="Arial"/>
          <w:sz w:val="17"/>
          <w:szCs w:val="17"/>
        </w:rPr>
      </w:pPr>
    </w:p>
    <w:p w14:paraId="397326CC">
      <w:pPr>
        <w:pStyle w:val="220"/>
        <w:numPr>
          <w:ilvl w:val="0"/>
          <w:numId w:val="0"/>
        </w:numPr>
        <w:spacing w:line="240" w:lineRule="auto"/>
        <w:ind w:leftChars="0"/>
        <w:jc w:val="both"/>
        <w:rPr>
          <w:rFonts w:hint="default" w:ascii="Arial" w:hAnsi="Arial" w:cs="Arial"/>
          <w:sz w:val="17"/>
          <w:szCs w:val="17"/>
        </w:rPr>
      </w:pPr>
    </w:p>
    <w:p w14:paraId="16D229E2">
      <w:pPr>
        <w:pStyle w:val="220"/>
        <w:numPr>
          <w:ilvl w:val="0"/>
          <w:numId w:val="0"/>
        </w:numPr>
        <w:spacing w:line="240" w:lineRule="auto"/>
        <w:ind w:leftChars="0"/>
        <w:jc w:val="both"/>
        <w:rPr>
          <w:rFonts w:hint="default" w:ascii="Arial" w:hAnsi="Arial" w:cs="Arial"/>
          <w:sz w:val="17"/>
          <w:szCs w:val="17"/>
        </w:rPr>
      </w:pPr>
    </w:p>
    <w:p w14:paraId="53150514">
      <w:pPr>
        <w:pStyle w:val="220"/>
        <w:numPr>
          <w:ilvl w:val="0"/>
          <w:numId w:val="0"/>
        </w:numPr>
        <w:spacing w:line="240" w:lineRule="auto"/>
        <w:ind w:leftChars="0"/>
        <w:jc w:val="both"/>
        <w:rPr>
          <w:rFonts w:hint="default" w:ascii="Arial" w:hAnsi="Arial" w:cs="Arial"/>
          <w:sz w:val="17"/>
          <w:szCs w:val="17"/>
        </w:rPr>
      </w:pPr>
    </w:p>
    <w:p w14:paraId="37AD5262">
      <w:pPr>
        <w:pStyle w:val="220"/>
        <w:numPr>
          <w:ilvl w:val="0"/>
          <w:numId w:val="0"/>
        </w:numPr>
        <w:spacing w:line="240" w:lineRule="auto"/>
        <w:ind w:leftChars="0"/>
        <w:jc w:val="both"/>
        <w:rPr>
          <w:rFonts w:hint="default" w:ascii="Arial" w:hAnsi="Arial" w:cs="Arial"/>
          <w:sz w:val="17"/>
          <w:szCs w:val="17"/>
        </w:rPr>
      </w:pPr>
    </w:p>
    <w:p w14:paraId="112BAA7C">
      <w:pPr>
        <w:pStyle w:val="220"/>
        <w:numPr>
          <w:ilvl w:val="0"/>
          <w:numId w:val="0"/>
        </w:numPr>
        <w:spacing w:line="240" w:lineRule="auto"/>
        <w:ind w:leftChars="0"/>
        <w:jc w:val="both"/>
        <w:rPr>
          <w:rFonts w:hint="default" w:ascii="Arial" w:hAnsi="Arial" w:cs="Arial"/>
          <w:sz w:val="17"/>
          <w:szCs w:val="17"/>
        </w:rPr>
      </w:pPr>
    </w:p>
    <w:p w14:paraId="60E87522">
      <w:pPr>
        <w:pStyle w:val="220"/>
        <w:numPr>
          <w:ilvl w:val="0"/>
          <w:numId w:val="0"/>
        </w:numPr>
        <w:spacing w:line="240" w:lineRule="auto"/>
        <w:ind w:leftChars="0"/>
        <w:jc w:val="both"/>
        <w:rPr>
          <w:rFonts w:hint="default" w:ascii="Arial" w:hAnsi="Arial" w:cs="Arial"/>
          <w:sz w:val="17"/>
          <w:szCs w:val="17"/>
        </w:rPr>
      </w:pPr>
    </w:p>
    <w:p w14:paraId="1207F97F">
      <w:pPr>
        <w:pStyle w:val="220"/>
        <w:numPr>
          <w:ilvl w:val="0"/>
          <w:numId w:val="0"/>
        </w:numPr>
        <w:spacing w:line="240" w:lineRule="auto"/>
        <w:ind w:leftChars="0"/>
        <w:jc w:val="both"/>
        <w:rPr>
          <w:rFonts w:hint="default" w:ascii="Arial" w:hAnsi="Arial" w:cs="Arial"/>
          <w:sz w:val="17"/>
          <w:szCs w:val="17"/>
        </w:rPr>
      </w:pPr>
    </w:p>
    <w:p w14:paraId="17D475C6">
      <w:pPr>
        <w:pStyle w:val="220"/>
        <w:numPr>
          <w:ilvl w:val="0"/>
          <w:numId w:val="0"/>
        </w:numPr>
        <w:spacing w:line="240" w:lineRule="auto"/>
        <w:ind w:leftChars="0"/>
        <w:jc w:val="both"/>
        <w:rPr>
          <w:rFonts w:hint="default" w:ascii="Arial" w:hAnsi="Arial" w:cs="Arial"/>
          <w:sz w:val="17"/>
          <w:szCs w:val="17"/>
        </w:rPr>
      </w:pPr>
    </w:p>
    <w:p w14:paraId="2D4591F5">
      <w:pPr>
        <w:pStyle w:val="220"/>
        <w:numPr>
          <w:ilvl w:val="0"/>
          <w:numId w:val="0"/>
        </w:numPr>
        <w:spacing w:line="240" w:lineRule="auto"/>
        <w:ind w:leftChars="0"/>
        <w:jc w:val="both"/>
        <w:rPr>
          <w:rFonts w:hint="default" w:ascii="Arial" w:hAnsi="Arial" w:cs="Arial"/>
          <w:sz w:val="17"/>
          <w:szCs w:val="17"/>
        </w:rPr>
      </w:pPr>
    </w:p>
    <w:p w14:paraId="5C38FF0E">
      <w:pPr>
        <w:pStyle w:val="220"/>
        <w:numPr>
          <w:ilvl w:val="0"/>
          <w:numId w:val="0"/>
        </w:numPr>
        <w:spacing w:line="240" w:lineRule="auto"/>
        <w:ind w:leftChars="0"/>
        <w:jc w:val="both"/>
        <w:rPr>
          <w:rFonts w:hint="default" w:ascii="Arial" w:hAnsi="Arial" w:cs="Arial"/>
          <w:sz w:val="17"/>
          <w:szCs w:val="17"/>
        </w:rPr>
      </w:pP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B71902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 contratação de empresa para prestação de serviços de locação de ambulâncias deverá atender aos seguintes requisitos:</w:t>
      </w:r>
    </w:p>
    <w:p w14:paraId="121F922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a) Condições dos Veículos: As ambulâncias devem estar em perfeito estado de conservação, incluindo mecânica, carroceria, acomodações para o paciente e profissionais, bem como os equipamentos de segurança e tráfego exigidos por lei.</w:t>
      </w:r>
    </w:p>
    <w:p w14:paraId="688836C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b)</w:t>
      </w:r>
      <w:r>
        <w:rPr>
          <w:rFonts w:hint="default" w:eastAsia="Times New Roman"/>
          <w:sz w:val="17"/>
          <w:szCs w:val="17"/>
          <w:lang w:val="pt-BR"/>
        </w:rPr>
        <w:t xml:space="preserve"> </w:t>
      </w:r>
      <w:r>
        <w:rPr>
          <w:rFonts w:hint="default" w:ascii="Arial" w:hAnsi="Arial" w:eastAsia="Times New Roman"/>
          <w:sz w:val="17"/>
          <w:szCs w:val="17"/>
        </w:rPr>
        <w:t>Regularização e Propriedade: Os veículos devem possuir toda a documentação regularizada e estar devidamente licenciados em nome da empresa contratada.</w:t>
      </w:r>
    </w:p>
    <w:p w14:paraId="77FE4D4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c) Conformidade com Normas Técnicas: As ambulâncias deverão estar em conformidade com as seguintes normas e regulamentações:</w:t>
      </w:r>
    </w:p>
    <w:p w14:paraId="5CCCC731">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 xml:space="preserve">ABNT NBR 14561/2000 (de julho de 2000); </w:t>
      </w:r>
    </w:p>
    <w:p w14:paraId="6CD16ADD">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Portaria GM/MS nº 2048, de 05 de novembro de 2002.</w:t>
      </w:r>
    </w:p>
    <w:p w14:paraId="20869D7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d) Equipamentos Obrigatórios: Cada ambulância deverá estar equipada, no mínimo, com os seguintes itens:</w:t>
      </w:r>
    </w:p>
    <w:p w14:paraId="0BEEEAAE">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Oxímetro de pulso (em caso de transporte neonatal/infantil);</w:t>
      </w:r>
    </w:p>
    <w:p w14:paraId="2A69BC18">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Monitor cardíaco e monitor de ECG contínuo;</w:t>
      </w:r>
    </w:p>
    <w:p w14:paraId="17FAB1D4">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Bomba de infusão;</w:t>
      </w:r>
    </w:p>
    <w:p w14:paraId="12BBB1D2">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Desfibrilador;</w:t>
      </w:r>
    </w:p>
    <w:p w14:paraId="392A7BB1">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Glicosímetro;</w:t>
      </w:r>
    </w:p>
    <w:p w14:paraId="70B69C13">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Balão auto inflável (em diversos tamanhos);</w:t>
      </w:r>
    </w:p>
    <w:p w14:paraId="345B27F2">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Respirador (em caso de transporte neonatal/infantil);</w:t>
      </w:r>
    </w:p>
    <w:p w14:paraId="6CA14002">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Maca ou incubadora de transporte;</w:t>
      </w:r>
    </w:p>
    <w:p w14:paraId="1CCC54AE">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Materiais de intubação;</w:t>
      </w:r>
      <w:r>
        <w:rPr>
          <w:rFonts w:hint="default" w:ascii="Arial" w:hAnsi="Arial" w:eastAsia="Times New Roman"/>
          <w:sz w:val="17"/>
          <w:szCs w:val="17"/>
        </w:rPr>
        <w:tab/>
      </w:r>
    </w:p>
    <w:p w14:paraId="080465CE">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Aspirador;</w:t>
      </w:r>
    </w:p>
    <w:p w14:paraId="5EBEE003">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Umidificador para oxigênio;</w:t>
      </w:r>
    </w:p>
    <w:p w14:paraId="676E5DA9">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Hood e CIPAP;</w:t>
      </w:r>
    </w:p>
    <w:p w14:paraId="1DCF7773">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Mínimo de 3 cilindros grandes de oxigênio e 2 cilindros portáteis;</w:t>
      </w:r>
    </w:p>
    <w:p w14:paraId="2AF9CA3E">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Cilindro de ar comprimido;</w:t>
      </w:r>
    </w:p>
    <w:p w14:paraId="48B090A9">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Rodoar.</w:t>
      </w:r>
    </w:p>
    <w:p w14:paraId="6766C4B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 xml:space="preserve">d.1) </w:t>
      </w:r>
      <w:r>
        <w:rPr>
          <w:rFonts w:hint="default" w:ascii="Arial" w:hAnsi="Arial" w:eastAsia="Times New Roman"/>
          <w:sz w:val="17"/>
          <w:szCs w:val="17"/>
        </w:rPr>
        <w:t>Materiais e medicamentos de emergência conforme a necessidade clínica do paciente.</w:t>
      </w:r>
    </w:p>
    <w:p w14:paraId="3A7632C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e) Agendamento e Atendimento: Chamados para procedimentos eletivos deverão ser agendados com mínimo de 2 (duas) horas de antecedência. Chamados para procedimentos de urgência ou emergência deverão ser atendidos imediatamente ao agendamento, com prazo máximo de 2 (duas) horas a partir da comunicação.</w:t>
      </w:r>
    </w:p>
    <w:p w14:paraId="2DCA561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f) Execução dos Serviços: Os serviços serão prestados conforme os chamados previamente agendados pela Secretaria Municipal de Saúde, obedecendo às condições estabelecidas em edital.</w:t>
      </w:r>
    </w:p>
    <w:p w14:paraId="64F6F09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ascii="Arial" w:hAnsi="Arial" w:eastAsia="Times New Roman"/>
          <w:sz w:val="17"/>
          <w:szCs w:val="17"/>
        </w:rPr>
        <w:t>g) Nota Fiscal e Documentação: A nota fiscal emitida deverá conter obrigatoriamente:</w:t>
      </w:r>
    </w:p>
    <w:p w14:paraId="736151A3">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Número da autorização de fornecimento;</w:t>
      </w:r>
    </w:p>
    <w:p w14:paraId="3FEFD7E9">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Número do empenho;</w:t>
      </w:r>
    </w:p>
    <w:p w14:paraId="138EE6BC">
      <w:pPr>
        <w:pStyle w:val="305"/>
        <w:keepNext w:val="0"/>
        <w:keepLines w:val="0"/>
        <w:pageBreakBefore w:val="0"/>
        <w:widowControl/>
        <w:numPr>
          <w:ilvl w:val="0"/>
          <w:numId w:val="28"/>
        </w:numPr>
        <w:kinsoku/>
        <w:wordWrap/>
        <w:overflowPunct/>
        <w:topLinePunct w:val="0"/>
        <w:autoSpaceDE/>
        <w:autoSpaceDN/>
        <w:bidi w:val="0"/>
        <w:adjustRightInd/>
        <w:snapToGrid/>
        <w:spacing w:before="0" w:after="0" w:line="240" w:lineRule="auto"/>
        <w:ind w:left="420" w:leftChars="0" w:hanging="420" w:firstLineChars="0"/>
        <w:textAlignment w:val="auto"/>
        <w:rPr>
          <w:rFonts w:hint="default" w:ascii="Arial" w:hAnsi="Arial" w:eastAsia="Times New Roman"/>
          <w:sz w:val="17"/>
          <w:szCs w:val="17"/>
        </w:rPr>
      </w:pPr>
      <w:r>
        <w:rPr>
          <w:rFonts w:hint="default" w:ascii="Arial" w:hAnsi="Arial" w:eastAsia="Times New Roman"/>
          <w:sz w:val="17"/>
          <w:szCs w:val="17"/>
        </w:rPr>
        <w:t>Relação detalhada dos serviços executados.</w:t>
      </w:r>
    </w:p>
    <w:p w14:paraId="2A41D37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A contratada deverá utilizar na prestação de serviços, veículos, com ano de fabricação não inferior a 2015 e que atenda as especificações do Código de Trânsito Brasileiro.</w:t>
      </w:r>
    </w:p>
    <w:p w14:paraId="5D78399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b/>
          <w:bCs/>
          <w:sz w:val="17"/>
          <w:szCs w:val="17"/>
        </w:rPr>
      </w:pPr>
      <w:r>
        <w:rPr>
          <w:rFonts w:hint="default" w:eastAsia="Times New Roman"/>
          <w:b/>
          <w:bCs/>
          <w:sz w:val="17"/>
          <w:szCs w:val="17"/>
          <w:lang w:val="pt-BR"/>
        </w:rPr>
        <w:t>2</w:t>
      </w:r>
      <w:r>
        <w:rPr>
          <w:rFonts w:hint="default" w:ascii="Arial" w:hAnsi="Arial" w:eastAsia="Times New Roman"/>
          <w:b/>
          <w:bCs/>
          <w:sz w:val="17"/>
          <w:szCs w:val="17"/>
        </w:rPr>
        <w:t xml:space="preserve">.3. Apresentar ao responsável, em até 05 (cinco) dias, contados da data da solicitação, a Licença de Funcionamento da empresa junto a Vigilância Sanitária. </w:t>
      </w:r>
    </w:p>
    <w:p w14:paraId="1780BAD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.4. Manter em funcionamento sua Central de Atendimento durante 24 (vinte e quatro) horas por dia, inclusive sábados, domingos e feriados, ambulâncias e os profissionais necessários para atender aos chamados do contratante. </w:t>
      </w:r>
    </w:p>
    <w:p w14:paraId="447B005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.5. A quilometragem deverá ser contada a partir do local determinado pela Secretaria de Municipal de Saúde de Cataguases – MG. </w:t>
      </w:r>
    </w:p>
    <w:p w14:paraId="22AAF6D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A contratada deverá executar o serviço dentro dos padrões de qualidade e segurança e obedecer às normas estipuladas na Portaria n° 2048, de 05 de novembro de 2002, que dispõe sobre a regulamentação do atendimento inter-hospitalar.</w:t>
      </w:r>
    </w:p>
    <w:p w14:paraId="6F7DE42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Realizar a desinfecção da ambulância antes de sua utilização e sempre que necessário, de acordo com o que estabelece a Portaria n° 930/1992 do Ministério da Saúde e demais normas.</w:t>
      </w:r>
    </w:p>
    <w:p w14:paraId="35148AA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.8. Apresentar, sempre que solicitado, a documentação comprobatória referente à manutenção preventiva e corretiva das ambulâncias, inclusive dos equipamentos que a integram.</w:t>
      </w:r>
    </w:p>
    <w:p w14:paraId="5DA9407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.9. Exigir dos profissionais Médicos e Enfermeiros designados para executar os serviços objeto da contratação o registro nos Conselhos. O Motorista deverá possuir a necessária Carteira de Habilitação para dirigir a ambulância.</w:t>
      </w:r>
    </w:p>
    <w:p w14:paraId="439A72C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.10. É da exclusiva responsabilidade da contratada o acompanhamento quanto ao cumprimento da obrigação prevista neste item.</w:t>
      </w:r>
    </w:p>
    <w:p w14:paraId="02EFD51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.11. Providenciar a substituição, da ambulância no caso de apresentar defeito que prejudique a prestação do serviço.</w:t>
      </w:r>
    </w:p>
    <w:p w14:paraId="4843C1E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.12. Responsabilizar pela disponibilização dos profissionais e equipamentos descritos neste termo de referência.</w:t>
      </w:r>
    </w:p>
    <w:p w14:paraId="2C88C40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.13. Responsabilizar pelo pagamento das despesas de salários e encargos trabalhistas destes profissionais, bem como pelo pagamento de despesas relativas à manutenção, consertos, reparos, combustível, higienização e desinfecção da ambulância e aquisições de matérias e equipamentos necessários à prestação dos serviços objeto da contratação. </w:t>
      </w:r>
    </w:p>
    <w:p w14:paraId="70AB92C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.14. Em caso de desacordo com as especificações exigidas e proposta apresentada e se a qualidade dos serviços executados não corresponderem às especificações exigidas não será aceito, exceto as situações oficialmente justificada e aceitas pelo responsável da Secretaria Municipal de Saúde, desde que não signifique prejuízos de espécie alguma ao Município.</w:t>
      </w:r>
    </w:p>
    <w:p w14:paraId="45DDAF4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.15. Correrão por conta da contratada todas as despesas de seguros, transporte, carga, tributos, além de possíveis encargos trabalhistas e previdenciários, decorrentes da contratação, objeto deste.</w:t>
      </w:r>
    </w:p>
    <w:p w14:paraId="3060CFB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.16. Caso não seja possível a execução na data assinalada, a empresa deverá comunicar as razões respectivas, assim que o agendamento for realizado, para que qualquer pleito de prorrogação de prazo seja analisado. </w:t>
      </w:r>
    </w:p>
    <w:p w14:paraId="1E138DB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.17. As detentoras do presente Ata serão obrigadas a atender ao pedido num todo.</w:t>
      </w:r>
    </w:p>
    <w:p w14:paraId="2212625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.18.  O(s) serviços(s) será(ão) rigorosamente avaliado(s) no ato da execução nos quesitos qualidade, caso o(s) serviço(s) esteja(m) em desacordo ao que foi licitado, as notas não serão assinadas.</w:t>
      </w:r>
    </w:p>
    <w:p w14:paraId="401968B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.19. As notas fiscais deverão ser assinadas pelo funcionário responsável pelo recebimento.</w:t>
      </w:r>
    </w:p>
    <w:p w14:paraId="6B80B00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.20. Os serviços poderão ser rejeitados, no todo ou em parte, quando em desacordo com as especificações constantes neste Termo de Referência e na proposta, podendo sofrer penalidades.</w:t>
      </w:r>
    </w:p>
    <w:p w14:paraId="6D52148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.21. Os endereços e locais para execução dos serviços poderão sofrer alterações conforme determinação da contratante.</w:t>
      </w:r>
    </w:p>
    <w:p w14:paraId="7221092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Times New Roman" w:cs="Arial"/>
          <w:b/>
          <w:bCs/>
          <w:i w:val="0"/>
          <w:iCs w:val="0"/>
          <w:color w:val="000000"/>
          <w:sz w:val="17"/>
          <w:szCs w:val="17"/>
        </w:rPr>
      </w:pPr>
      <w:r>
        <w:rPr>
          <w:rFonts w:hint="default" w:eastAsia="Times New Roman"/>
          <w:sz w:val="17"/>
          <w:szCs w:val="17"/>
          <w:lang w:val="pt-BR"/>
        </w:rPr>
        <w:t>2</w:t>
      </w:r>
      <w:r>
        <w:rPr>
          <w:rFonts w:hint="default" w:ascii="Arial" w:hAnsi="Arial" w:eastAsia="Times New Roman"/>
          <w:sz w:val="17"/>
          <w:szCs w:val="17"/>
        </w:rPr>
        <w:t>.22. Os locais de execução serão informados no ato do envio das Solicitações de Fornecimento (e-mail direcionado ao fornecedor) ou descrito nas mesmas.</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6687145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7222879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073/2025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9"/>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51C69D1F">
      <w:pPr>
        <w:numPr>
          <w:ilvl w:val="2"/>
          <w:numId w:val="22"/>
        </w:num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rPr>
        <w:t xml:space="preserve">A CONTRATADA deverá executar o serviço, no local indicado, no máximo de 02 (duas) horas corridos após o envio da Solicitação de Fornecimento. </w:t>
      </w:r>
    </w:p>
    <w:p w14:paraId="476AE80B">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A CONTRATADA deverá executar os serviços respeitando os quantitativos, descrições e local contidos no e-mail, enviada previamente.</w:t>
      </w:r>
    </w:p>
    <w:p w14:paraId="69940EB0">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.1.3. A emissão do recebimento definitivo não eximirá o fornecedor de suas responsabilidades, nem invalidará ou comprometerá qualquer reclamação que o órgão contratante venha a fazer, baseada na existência de serviço inadequado. </w:t>
      </w:r>
    </w:p>
    <w:p w14:paraId="067A87C3">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.1.4. A contratada deverá arcar com todos os ônus referentes a transportes e fretes necessários a execução do objeto. </w:t>
      </w:r>
    </w:p>
    <w:p w14:paraId="508218E0">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A contratada deverá prestar informações e esclarecimentos que venham a ser solicitados pela contratante.</w:t>
      </w:r>
    </w:p>
    <w:p w14:paraId="31FCBD13">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Assumir a responsabilidade pelos encargos fiscais e comerciais resultantes da adjudicação desta licitação.</w:t>
      </w:r>
    </w:p>
    <w:p w14:paraId="27842B39">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Submeter-se à fiscalização da contratante, através do setor competente, para verificação da qualidade dos serviços, orientando, fiscalizando e intervindo ao seu exclusivo interesse, com a finalidade de garantir o exato cumprimento das condições pactuadas.</w:t>
      </w:r>
    </w:p>
    <w:p w14:paraId="330CBB30">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7ACAC21">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Efetuar os serviços, conforme especificações, prazo e local constantes no Termo de Referência e seus anexos, acompanhado da respectiva nota fiscal, na qual constarão as indicações referentes, no mínimo, a: marca, fabricante, modelo, procedência e prazo de garantia ou validade.</w:t>
      </w:r>
    </w:p>
    <w:p w14:paraId="4AE1EF2B">
      <w:pPr>
        <w:spacing w:line="240" w:lineRule="auto"/>
        <w:ind w:left="0" w:leftChars="0" w:firstLine="0" w:firstLine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.1.10. Comunicar à CONTRATANTE qualquer anormalidade de caráter urgente e prestar os esclarecimentos que julgarem-se necessários.</w:t>
      </w:r>
    </w:p>
    <w:p w14:paraId="7B71575C">
      <w:pPr>
        <w:spacing w:line="240" w:lineRule="auto"/>
        <w:ind w:left="0" w:leftChars="0" w:firstLine="0" w:firstLineChars="0"/>
        <w:jc w:val="both"/>
        <w:rPr>
          <w:rFonts w:ascii="Arial" w:hAnsi="Arial" w:eastAsia="Times New Roman" w:cs="Arial"/>
          <w:b w:val="0"/>
          <w:bCs/>
          <w:sz w:val="17"/>
          <w:szCs w:val="17"/>
        </w:rPr>
      </w:pPr>
      <w:r>
        <w:rPr>
          <w:rFonts w:hint="default" w:ascii="Arial" w:hAnsi="Arial"/>
          <w:b w:val="0"/>
          <w:bCs/>
          <w:sz w:val="17"/>
          <w:szCs w:val="17"/>
          <w:lang w:val="pt-BR"/>
        </w:rPr>
        <w:t>5</w:t>
      </w:r>
      <w:r>
        <w:rPr>
          <w:rFonts w:hint="default" w:ascii="Arial" w:hAnsi="Arial"/>
          <w:b w:val="0"/>
          <w:bCs/>
          <w:sz w:val="17"/>
          <w:szCs w:val="17"/>
        </w:rPr>
        <w:t>.1.11. Deverá conter na Nota Fiscal, o número da Solicitação de Fornecimento ou número de empenho referente ao produto.</w:t>
      </w:r>
    </w:p>
    <w:p w14:paraId="721F8386">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30"/>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8E8D354">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 xml:space="preserve">.2.1. </w:t>
      </w:r>
      <w:r>
        <w:rPr>
          <w:rFonts w:hint="default" w:ascii="Arial" w:hAnsi="Arial" w:eastAsia="Times New Roman"/>
          <w:b w:val="0"/>
          <w:bCs/>
          <w:color w:val="000000"/>
          <w:sz w:val="17"/>
          <w:szCs w:val="17"/>
        </w:rPr>
        <w:t>Promover o acompanhamento e a fiscalização da execução dos serviços.</w:t>
      </w:r>
    </w:p>
    <w:p w14:paraId="3D426A4C">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.2.2. Prestar informações, relativas ao objeto da aquisição, que venham a ser solicitadas pela licitante vencedora.</w:t>
      </w:r>
    </w:p>
    <w:p w14:paraId="00A2DE75">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.2.3. Efetuar o pagamento do valor constante na nota fiscal/fatura, em até 30 (trinta) dias consecutivos após o recebimento da mesma, devidamente atestada.</w:t>
      </w:r>
    </w:p>
    <w:p w14:paraId="571B6A89">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.2.4. Rejeitar o (s) serviço (s) e/ou que não satisfizerem aos padrões exigidos nas especificações e recomendações da contratante.</w:t>
      </w:r>
    </w:p>
    <w:p w14:paraId="556F44A8">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.2.5. Notificar a CONTRATADA, por escrito, quando não efetuar a  execução do(s) serviço(s), após 01 (um) dia corrido da geração da Solicitação de Fornecimento.</w:t>
      </w:r>
    </w:p>
    <w:p w14:paraId="0A08E665">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.2.6. Notificar a CONTRATADA, por escrito, de quaisquer irregularidades que venham a ocorrer, em função da prestação do objeto do contrato.</w:t>
      </w:r>
    </w:p>
    <w:p w14:paraId="6F49D0E3">
      <w:pPr>
        <w:spacing w:after="0" w:line="240" w:lineRule="auto"/>
        <w:ind w:left="0" w:leftChars="0" w:firstLine="0" w:firstLineChars="0"/>
        <w:jc w:val="both"/>
        <w:rPr>
          <w:rFonts w:hint="default" w:ascii="Arial" w:hAnsi="Arial" w:eastAsia="Times New Roman"/>
          <w:b w:val="0"/>
          <w:bCs/>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.2.7. Cumprir e fazer-se cumprir o disposto nas cláusulas deste Termo de Referência.</w:t>
      </w:r>
    </w:p>
    <w:p w14:paraId="2C177D7F">
      <w:pPr>
        <w:spacing w:after="0" w:line="240" w:lineRule="auto"/>
        <w:ind w:left="0" w:leftChars="0" w:firstLine="0" w:firstLineChars="0"/>
        <w:jc w:val="both"/>
        <w:rPr>
          <w:rFonts w:ascii="Arial" w:hAnsi="Arial" w:eastAsia="Times New Roman" w:cs="Arial"/>
          <w:b/>
          <w:color w:val="000000"/>
          <w:sz w:val="17"/>
          <w:szCs w:val="17"/>
        </w:rPr>
      </w:pPr>
      <w:r>
        <w:rPr>
          <w:rFonts w:hint="default" w:ascii="Arial" w:hAnsi="Arial"/>
          <w:b w:val="0"/>
          <w:bCs/>
          <w:color w:val="000000"/>
          <w:sz w:val="17"/>
          <w:szCs w:val="17"/>
          <w:lang w:val="pt-BR"/>
        </w:rPr>
        <w:t>5</w:t>
      </w:r>
      <w:r>
        <w:rPr>
          <w:rFonts w:hint="default" w:ascii="Arial" w:hAnsi="Arial" w:eastAsia="Times New Roman"/>
          <w:b w:val="0"/>
          <w:bCs/>
          <w:color w:val="000000"/>
          <w:sz w:val="17"/>
          <w:szCs w:val="17"/>
        </w:rPr>
        <w:t>.2.8. Fornecer todos os elementos básicos e dados complementares à execução dos serviços ora licitados.</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14B098A3">
      <w:pPr>
        <w:spacing w:line="240" w:lineRule="auto"/>
        <w:jc w:val="both"/>
        <w:rPr>
          <w:rFonts w:hint="default" w:ascii="Arial" w:hAnsi="Arial"/>
          <w:b w:val="0"/>
          <w:bCs w:val="0"/>
          <w:sz w:val="17"/>
          <w:szCs w:val="17"/>
        </w:rPr>
      </w:pPr>
      <w:r>
        <w:rPr>
          <w:rFonts w:hint="default" w:ascii="Arial" w:hAnsi="Arial"/>
          <w:b/>
          <w:bCs/>
          <w:sz w:val="17"/>
          <w:szCs w:val="17"/>
        </w:rPr>
        <w:t>02.009 – FUNDO MUNICIPAL DE SAÚDE</w:t>
      </w:r>
      <w:r>
        <w:rPr>
          <w:rFonts w:hint="default" w:ascii="Arial" w:hAnsi="Arial"/>
          <w:b w:val="0"/>
          <w:bCs w:val="0"/>
          <w:sz w:val="17"/>
          <w:szCs w:val="17"/>
        </w:rPr>
        <w:t xml:space="preserve"> </w:t>
      </w:r>
    </w:p>
    <w:p w14:paraId="64C87984">
      <w:pPr>
        <w:spacing w:line="240" w:lineRule="auto"/>
        <w:jc w:val="both"/>
        <w:rPr>
          <w:rFonts w:hint="default" w:ascii="Arial" w:hAnsi="Arial"/>
          <w:b w:val="0"/>
          <w:bCs w:val="0"/>
          <w:sz w:val="17"/>
          <w:szCs w:val="17"/>
        </w:rPr>
      </w:pPr>
      <w:r>
        <w:rPr>
          <w:rFonts w:hint="default" w:ascii="Arial" w:hAnsi="Arial"/>
          <w:b w:val="0"/>
          <w:bCs w:val="0"/>
          <w:sz w:val="17"/>
          <w:szCs w:val="17"/>
        </w:rPr>
        <w:t>2.099 – Gestão do Serviço de Regulação, Controle, Auditoria e Avaliação.</w:t>
      </w:r>
    </w:p>
    <w:p w14:paraId="4011B5F2">
      <w:pPr>
        <w:spacing w:line="240" w:lineRule="auto"/>
        <w:jc w:val="both"/>
        <w:rPr>
          <w:rFonts w:hint="default" w:ascii="Arial" w:hAnsi="Arial"/>
          <w:b w:val="0"/>
          <w:bCs w:val="0"/>
          <w:sz w:val="17"/>
          <w:szCs w:val="17"/>
        </w:rPr>
      </w:pPr>
      <w:r>
        <w:rPr>
          <w:rFonts w:hint="default" w:ascii="Arial" w:hAnsi="Arial"/>
          <w:b w:val="0"/>
          <w:bCs w:val="0"/>
          <w:sz w:val="17"/>
          <w:szCs w:val="17"/>
        </w:rPr>
        <w:t>3.3.90.39.00.00.00.00 - 1.500 – Outros Serviços de Terceiros Pessoa Jurídica (Ficha: 463)</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1"/>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5AF26A43">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7AC5DD29">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1D3B074A">
      <w:pPr>
        <w:numPr>
          <w:ilvl w:val="0"/>
          <w:numId w:val="33"/>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Simonne de Sousa Montes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451384AC">
      <w:pPr>
        <w:jc w:val="both"/>
        <w:rPr>
          <w:rFonts w:ascii="Arial" w:hAnsi="Arial" w:cs="Arial"/>
          <w:b/>
          <w:bCs/>
          <w:sz w:val="26"/>
          <w:szCs w:val="26"/>
        </w:rPr>
      </w:pPr>
    </w:p>
    <w:p w14:paraId="2049A9A7">
      <w:pPr>
        <w:jc w:val="both"/>
        <w:rPr>
          <w:rFonts w:ascii="Arial" w:hAnsi="Arial" w:cs="Arial"/>
          <w:b/>
          <w:bCs/>
          <w:sz w:val="26"/>
          <w:szCs w:val="26"/>
        </w:rPr>
      </w:pPr>
    </w:p>
    <w:p w14:paraId="0E3CF2F5">
      <w:pPr>
        <w:rPr>
          <w:rFonts w:ascii="Arial" w:hAnsi="Arial" w:cs="Arial"/>
          <w:b/>
          <w:bCs/>
          <w:sz w:val="26"/>
          <w:szCs w:val="26"/>
        </w:rPr>
      </w:pPr>
      <w:r>
        <w:rPr>
          <w:rFonts w:ascii="Arial" w:hAnsi="Arial" w:cs="Arial"/>
          <w:b/>
          <w:bCs/>
          <w:sz w:val="26"/>
          <w:szCs w:val="26"/>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158/2025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0</w:t>
      </w:r>
      <w:r>
        <w:rPr>
          <w:rFonts w:hint="default" w:ascii="Arial" w:hAnsi="Arial" w:cs="Arial"/>
          <w:b/>
          <w:bCs/>
          <w:sz w:val="20"/>
          <w:szCs w:val="20"/>
          <w:lang w:val="pt-BR"/>
        </w:rPr>
        <w:t>73/2025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072/2025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2612534C">
      <w:pPr>
        <w:jc w:val="center"/>
        <w:rPr>
          <w:rFonts w:ascii="Arial" w:hAnsi="Arial" w:cs="Arial"/>
          <w:b/>
          <w:bCs/>
          <w:sz w:val="26"/>
          <w:szCs w:val="26"/>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18"/>
          <w:szCs w:val="18"/>
        </w:rPr>
      </w:pPr>
    </w:p>
    <w:p w14:paraId="470FBD4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158/2025</w:t>
      </w:r>
    </w:p>
    <w:p w14:paraId="61D40426">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073/2025</w:t>
      </w:r>
    </w:p>
    <w:p w14:paraId="7411EE9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072/2025</w:t>
      </w:r>
    </w:p>
    <w:p w14:paraId="1300F571">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073/2025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2E3B4"/>
    <w:multiLevelType w:val="singleLevel"/>
    <w:tmpl w:val="A152E3B4"/>
    <w:lvl w:ilvl="0" w:tentative="0">
      <w:start w:val="1"/>
      <w:numFmt w:val="bullet"/>
      <w:lvlText w:val=""/>
      <w:lvlJc w:val="left"/>
      <w:pPr>
        <w:tabs>
          <w:tab w:val="left" w:pos="420"/>
        </w:tabs>
        <w:ind w:left="420" w:leftChars="0" w:hanging="420" w:firstLineChars="0"/>
      </w:pPr>
      <w:rPr>
        <w:rFonts w:hint="default" w:ascii="Wingdings" w:hAnsi="Wingdings"/>
        <w:sz w:val="10"/>
        <w:szCs w:val="10"/>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A81B5014"/>
    <w:multiLevelType w:val="singleLevel"/>
    <w:tmpl w:val="A81B5014"/>
    <w:lvl w:ilvl="0" w:tentative="0">
      <w:start w:val="1"/>
      <w:numFmt w:val="bullet"/>
      <w:lvlText w:val=""/>
      <w:lvlJc w:val="left"/>
      <w:pPr>
        <w:tabs>
          <w:tab w:val="left" w:pos="420"/>
        </w:tabs>
        <w:ind w:left="420" w:leftChars="0" w:hanging="420" w:firstLineChars="0"/>
      </w:pPr>
      <w:rPr>
        <w:rFonts w:hint="default" w:ascii="Wingdings" w:hAnsi="Wingdings"/>
        <w:sz w:val="10"/>
        <w:szCs w:val="10"/>
      </w:rPr>
    </w:lvl>
  </w:abstractNum>
  <w:abstractNum w:abstractNumId="3">
    <w:nsid w:val="D5EB21E8"/>
    <w:multiLevelType w:val="singleLevel"/>
    <w:tmpl w:val="D5EB21E8"/>
    <w:lvl w:ilvl="0" w:tentative="0">
      <w:start w:val="1"/>
      <w:numFmt w:val="upperLetter"/>
      <w:suff w:val="space"/>
      <w:lvlText w:val="%1)"/>
      <w:lvlJc w:val="left"/>
    </w:lvl>
  </w:abstractNum>
  <w:abstractNum w:abstractNumId="4">
    <w:nsid w:val="0182D939"/>
    <w:multiLevelType w:val="multilevel"/>
    <w:tmpl w:val="0182D939"/>
    <w:lvl w:ilvl="0" w:tentative="0">
      <w:start w:val="1"/>
      <w:numFmt w:val="upperRoman"/>
      <w:lvlText w:val="%1."/>
      <w:lvlJc w:val="left"/>
      <w:pPr>
        <w:ind w:left="140" w:hanging="709"/>
        <w:jc w:val="left"/>
      </w:pPr>
      <w:rPr>
        <w:rFonts w:hint="default" w:ascii="Cambria" w:hAnsi="Cambria" w:eastAsia="Cambria" w:cs="Cambria"/>
        <w:b w:val="0"/>
        <w:bCs w:val="0"/>
        <w:i w:val="0"/>
        <w:iCs w:val="0"/>
        <w:spacing w:val="0"/>
        <w:w w:val="100"/>
        <w:sz w:val="22"/>
        <w:szCs w:val="22"/>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10">
    <w:nsid w:val="18628CAF"/>
    <w:multiLevelType w:val="singleLevel"/>
    <w:tmpl w:val="18628CA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161573"/>
    <w:multiLevelType w:val="multilevel"/>
    <w:tmpl w:val="3316157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0">
    <w:nsid w:val="4A043954"/>
    <w:multiLevelType w:val="multilevel"/>
    <w:tmpl w:val="4A043954"/>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1">
    <w:nsid w:val="4E4160D4"/>
    <w:multiLevelType w:val="multilevel"/>
    <w:tmpl w:val="4E4160D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5">
    <w:nsid w:val="60335169"/>
    <w:multiLevelType w:val="multilevel"/>
    <w:tmpl w:val="6033516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6">
    <w:nsid w:val="6421523D"/>
    <w:multiLevelType w:val="singleLevel"/>
    <w:tmpl w:val="6421523D"/>
    <w:lvl w:ilvl="0" w:tentative="0">
      <w:start w:val="18"/>
      <w:numFmt w:val="decimal"/>
      <w:suff w:val="space"/>
      <w:lvlText w:val="%1."/>
      <w:lvlJc w:val="left"/>
    </w:lvl>
  </w:abstractNum>
  <w:abstractNum w:abstractNumId="2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2"/>
  </w:num>
  <w:num w:numId="2">
    <w:abstractNumId w:val="0"/>
  </w:num>
  <w:num w:numId="3">
    <w:abstractNumId w:val="16"/>
  </w:num>
  <w:num w:numId="4">
    <w:abstractNumId w:val="30"/>
  </w:num>
  <w:num w:numId="5">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24"/>
  </w:num>
  <w:num w:numId="10">
    <w:abstractNumId w:val="31"/>
  </w:num>
  <w:num w:numId="11">
    <w:abstractNumId w:val="29"/>
  </w:num>
  <w:num w:numId="12">
    <w:abstractNumId w:val="18"/>
  </w:num>
  <w:num w:numId="13">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7"/>
  </w:num>
  <w:num w:numId="17">
    <w:abstractNumId w:val="12"/>
  </w:num>
  <w:num w:numId="18">
    <w:abstractNumId w:val="5"/>
  </w:num>
  <w:num w:numId="19">
    <w:abstractNumId w:val="4"/>
  </w:num>
  <w:num w:numId="20">
    <w:abstractNumId w:val="26"/>
  </w:num>
  <w:num w:numId="21">
    <w:abstractNumId w:val="15"/>
  </w:num>
  <w:num w:numId="22">
    <w:abstractNumId w:val="20"/>
  </w:num>
  <w:num w:numId="23">
    <w:abstractNumId w:val="14"/>
  </w:num>
  <w:num w:numId="24">
    <w:abstractNumId w:val="21"/>
  </w:num>
  <w:num w:numId="25">
    <w:abstractNumId w:val="25"/>
  </w:num>
  <w:num w:numId="26">
    <w:abstractNumId w:val="9"/>
  </w:num>
  <w:num w:numId="27">
    <w:abstractNumId w:val="8"/>
  </w:num>
  <w:num w:numId="28">
    <w:abstractNumId w:val="2"/>
  </w:num>
  <w:num w:numId="29">
    <w:abstractNumId w:val="19"/>
  </w:num>
  <w:num w:numId="30">
    <w:abstractNumId w:val="13"/>
  </w:num>
  <w:num w:numId="31">
    <w:abstractNumId w:val="11"/>
  </w:num>
  <w:num w:numId="32">
    <w:abstractNumId w:val="3"/>
  </w:num>
  <w:num w:numId="33">
    <w:abstractNumId w:val="10"/>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D04327"/>
    <w:rsid w:val="08662E72"/>
    <w:rsid w:val="088C08E9"/>
    <w:rsid w:val="09280895"/>
    <w:rsid w:val="098C4D36"/>
    <w:rsid w:val="099A6906"/>
    <w:rsid w:val="0A1A36A0"/>
    <w:rsid w:val="0A1E5378"/>
    <w:rsid w:val="0A892C60"/>
    <w:rsid w:val="0AA0137B"/>
    <w:rsid w:val="0B2E0FAF"/>
    <w:rsid w:val="0C6254CE"/>
    <w:rsid w:val="0C745C89"/>
    <w:rsid w:val="0C9B62D5"/>
    <w:rsid w:val="0CC5327E"/>
    <w:rsid w:val="0D084D71"/>
    <w:rsid w:val="0D7910A1"/>
    <w:rsid w:val="0E4711FC"/>
    <w:rsid w:val="0F085E08"/>
    <w:rsid w:val="0FDE2597"/>
    <w:rsid w:val="108D148E"/>
    <w:rsid w:val="109D402C"/>
    <w:rsid w:val="11C747A2"/>
    <w:rsid w:val="123371E8"/>
    <w:rsid w:val="130A0F08"/>
    <w:rsid w:val="134A4E0F"/>
    <w:rsid w:val="13566046"/>
    <w:rsid w:val="135C0EA9"/>
    <w:rsid w:val="13F57565"/>
    <w:rsid w:val="140A478A"/>
    <w:rsid w:val="16E549E0"/>
    <w:rsid w:val="175C2605"/>
    <w:rsid w:val="1838494B"/>
    <w:rsid w:val="183A58CF"/>
    <w:rsid w:val="188006D9"/>
    <w:rsid w:val="18B47B61"/>
    <w:rsid w:val="19002FAD"/>
    <w:rsid w:val="194A621D"/>
    <w:rsid w:val="19AE222D"/>
    <w:rsid w:val="19DF440E"/>
    <w:rsid w:val="1A306BDC"/>
    <w:rsid w:val="1B5F138E"/>
    <w:rsid w:val="1C155B9F"/>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4D91E32"/>
    <w:rsid w:val="25060297"/>
    <w:rsid w:val="25361FED"/>
    <w:rsid w:val="26467D5D"/>
    <w:rsid w:val="268D24CB"/>
    <w:rsid w:val="26A522E5"/>
    <w:rsid w:val="26AB2EEF"/>
    <w:rsid w:val="26E76EFF"/>
    <w:rsid w:val="28177609"/>
    <w:rsid w:val="289D2943"/>
    <w:rsid w:val="28DF667B"/>
    <w:rsid w:val="295938E3"/>
    <w:rsid w:val="2960326E"/>
    <w:rsid w:val="29A90543"/>
    <w:rsid w:val="29D60DFE"/>
    <w:rsid w:val="29D87A35"/>
    <w:rsid w:val="29F03C89"/>
    <w:rsid w:val="2B273C3C"/>
    <w:rsid w:val="2B7E0EDF"/>
    <w:rsid w:val="2BA5188B"/>
    <w:rsid w:val="2BAC08D4"/>
    <w:rsid w:val="2BC12DD8"/>
    <w:rsid w:val="2BF66346"/>
    <w:rsid w:val="2C58733A"/>
    <w:rsid w:val="2C7E74AC"/>
    <w:rsid w:val="2CDE7D2D"/>
    <w:rsid w:val="2DB35605"/>
    <w:rsid w:val="2E514506"/>
    <w:rsid w:val="2E611FB6"/>
    <w:rsid w:val="2E7471D0"/>
    <w:rsid w:val="2EE90188"/>
    <w:rsid w:val="2F2612DC"/>
    <w:rsid w:val="2F462A0C"/>
    <w:rsid w:val="2F712264"/>
    <w:rsid w:val="2F7D0104"/>
    <w:rsid w:val="2F8F5830"/>
    <w:rsid w:val="306040EB"/>
    <w:rsid w:val="30704386"/>
    <w:rsid w:val="30711E07"/>
    <w:rsid w:val="30B03B21"/>
    <w:rsid w:val="30FC1269"/>
    <w:rsid w:val="310041B1"/>
    <w:rsid w:val="31D574D0"/>
    <w:rsid w:val="31E13090"/>
    <w:rsid w:val="32C171AA"/>
    <w:rsid w:val="33764BA1"/>
    <w:rsid w:val="341C3E53"/>
    <w:rsid w:val="35414F6E"/>
    <w:rsid w:val="35FD0F8B"/>
    <w:rsid w:val="36153AC8"/>
    <w:rsid w:val="36767569"/>
    <w:rsid w:val="36E91DC4"/>
    <w:rsid w:val="37AB3314"/>
    <w:rsid w:val="37EC6A19"/>
    <w:rsid w:val="37FF04D4"/>
    <w:rsid w:val="38541A9E"/>
    <w:rsid w:val="398D25DE"/>
    <w:rsid w:val="3A4D68B5"/>
    <w:rsid w:val="3A782F7C"/>
    <w:rsid w:val="3A8821F4"/>
    <w:rsid w:val="3A8D7822"/>
    <w:rsid w:val="3AE54320"/>
    <w:rsid w:val="3B6C0A94"/>
    <w:rsid w:val="3E280296"/>
    <w:rsid w:val="3E9832FD"/>
    <w:rsid w:val="3EE6654F"/>
    <w:rsid w:val="3F1D6EF7"/>
    <w:rsid w:val="3F380C61"/>
    <w:rsid w:val="3F726CB5"/>
    <w:rsid w:val="3FC71833"/>
    <w:rsid w:val="40C73FD6"/>
    <w:rsid w:val="40DE5DF9"/>
    <w:rsid w:val="417501F3"/>
    <w:rsid w:val="42856917"/>
    <w:rsid w:val="429057C0"/>
    <w:rsid w:val="431B5DEF"/>
    <w:rsid w:val="431D4064"/>
    <w:rsid w:val="438E56E3"/>
    <w:rsid w:val="440476D6"/>
    <w:rsid w:val="45300692"/>
    <w:rsid w:val="453E5466"/>
    <w:rsid w:val="45DA4C4B"/>
    <w:rsid w:val="46020A77"/>
    <w:rsid w:val="461D4A97"/>
    <w:rsid w:val="4642363C"/>
    <w:rsid w:val="46681314"/>
    <w:rsid w:val="46C65063"/>
    <w:rsid w:val="470518CB"/>
    <w:rsid w:val="477C2455"/>
    <w:rsid w:val="485149CD"/>
    <w:rsid w:val="48F30D3D"/>
    <w:rsid w:val="49471290"/>
    <w:rsid w:val="49E75DBF"/>
    <w:rsid w:val="4A1B3C83"/>
    <w:rsid w:val="4B3E2E80"/>
    <w:rsid w:val="4B821692"/>
    <w:rsid w:val="4B9E2EE3"/>
    <w:rsid w:val="4BA62863"/>
    <w:rsid w:val="4BDF3F6E"/>
    <w:rsid w:val="4BE0608A"/>
    <w:rsid w:val="4BF06BDD"/>
    <w:rsid w:val="4C484637"/>
    <w:rsid w:val="4C690434"/>
    <w:rsid w:val="4CAA6322"/>
    <w:rsid w:val="4D5E6ED9"/>
    <w:rsid w:val="4D87670D"/>
    <w:rsid w:val="4DAF7402"/>
    <w:rsid w:val="4DB846BD"/>
    <w:rsid w:val="4DC67027"/>
    <w:rsid w:val="4E377AA9"/>
    <w:rsid w:val="4E3D4066"/>
    <w:rsid w:val="4E7E31BB"/>
    <w:rsid w:val="4E811958"/>
    <w:rsid w:val="4ED107DE"/>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2F823A2"/>
    <w:rsid w:val="53287BFD"/>
    <w:rsid w:val="53A54E0C"/>
    <w:rsid w:val="53E030A9"/>
    <w:rsid w:val="56291CEA"/>
    <w:rsid w:val="57137BBD"/>
    <w:rsid w:val="577E261B"/>
    <w:rsid w:val="58614E3B"/>
    <w:rsid w:val="588E3981"/>
    <w:rsid w:val="59194FF3"/>
    <w:rsid w:val="594C2058"/>
    <w:rsid w:val="599D6213"/>
    <w:rsid w:val="59D5303F"/>
    <w:rsid w:val="59DE0E81"/>
    <w:rsid w:val="5A4D36B3"/>
    <w:rsid w:val="5A990128"/>
    <w:rsid w:val="5B224A68"/>
    <w:rsid w:val="5B261AA8"/>
    <w:rsid w:val="5B6F0845"/>
    <w:rsid w:val="5BC449ED"/>
    <w:rsid w:val="5C12247E"/>
    <w:rsid w:val="5C7E560B"/>
    <w:rsid w:val="5CB731C6"/>
    <w:rsid w:val="5D361E7D"/>
    <w:rsid w:val="5D37407B"/>
    <w:rsid w:val="5D452069"/>
    <w:rsid w:val="5D7D25CE"/>
    <w:rsid w:val="5DB73614"/>
    <w:rsid w:val="5E7627F9"/>
    <w:rsid w:val="5F777E2D"/>
    <w:rsid w:val="5FEA04C5"/>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61A8E"/>
    <w:rsid w:val="68D827BB"/>
    <w:rsid w:val="69C45E93"/>
    <w:rsid w:val="6A0D62A7"/>
    <w:rsid w:val="6A302ECB"/>
    <w:rsid w:val="6A902988"/>
    <w:rsid w:val="6AC95741"/>
    <w:rsid w:val="6CAC2460"/>
    <w:rsid w:val="6D667622"/>
    <w:rsid w:val="6E114EEB"/>
    <w:rsid w:val="6E147427"/>
    <w:rsid w:val="6EA9791B"/>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1D5C9E"/>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9C1EA2"/>
    <w:rsid w:val="7DAE615B"/>
    <w:rsid w:val="7E233080"/>
    <w:rsid w:val="7E775D49"/>
    <w:rsid w:val="7ED2536B"/>
    <w:rsid w:val="7F064067"/>
    <w:rsid w:val="7F43588D"/>
    <w:rsid w:val="7F7D5B00"/>
    <w:rsid w:val="7FAE73D0"/>
    <w:rsid w:val="7FF554F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18696</Words>
  <Characters>100959</Characters>
  <Lines>841</Lines>
  <Paragraphs>238</Paragraphs>
  <TotalTime>44</TotalTime>
  <ScaleCrop>false</ScaleCrop>
  <LinksUpToDate>false</LinksUpToDate>
  <CharactersWithSpaces>119417</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2025-10-24T13:29:43Z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FC22D198726247A6AECF7B78519B32B0_13</vt:lpwstr>
  </property>
</Properties>
</file>